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4" w:before="80" w:line="248" w:lineRule="auto"/>
        <w:jc w:val="center"/>
        <w:keepNext/>
        <w:keepLines/>
        <w:widowControl/>
      </w:pPr>
      <w:r>
        <w:rPr>
          <w:rFonts w:ascii="Aptos" w:hAnsi="Aptos" w:eastAsia="Aptos" w:cs="Aptos"/>
          <w:b/>
          <w:color w:val="202020"/>
          <w:sz w:val="19"/>
        </w:rPr>
        <w:t>Pennsylvania Transportation Reform</w:t>
      </w:r>
    </w:p>
    <w:p>
      <w:pPr>
        <w:spacing w:after="64" w:line="248" w:lineRule="auto"/>
        <w:jc w:val="center"/>
        <w:keepNext/>
        <w:keepLines/>
        <w:widowControl/>
      </w:pPr>
      <w:r>
        <w:rPr>
          <w:rFonts w:ascii="Aptos" w:hAnsi="Aptos" w:eastAsia="Aptos" w:cs="Aptos"/>
          <w:b/>
          <w:color w:val="202020"/>
          <w:sz w:val="19"/>
        </w:rPr>
        <w:t>Complete Official Campaign Policy Framework</w:t>
      </w:r>
    </w:p>
    <w:p>
      <w:pPr>
        <w:spacing w:after="64" w:line="248" w:lineRule="auto"/>
        <w:jc w:val="center"/>
        <w:keepNext/>
        <w:keepLines/>
        <w:widowControl/>
      </w:pPr>
      <w:r>
        <w:rPr>
          <w:rFonts w:ascii="Aptos" w:hAnsi="Aptos" w:eastAsia="Aptos" w:cs="Aptos"/>
          <w:b/>
          <w:color w:val="202020"/>
          <w:sz w:val="19"/>
        </w:rPr>
        <w:t>James Moore for Governor</w:t>
      </w:r>
    </w:p>
    <w:p>
      <w:pPr>
        <w:spacing w:after="64" w:line="248" w:lineRule="auto"/>
        <w:jc w:val="center"/>
        <w:keepNext/>
        <w:keepLines/>
        <w:widowControl/>
      </w:pPr>
      <w:r>
        <w:rPr>
          <w:rFonts w:ascii="Aptos" w:hAnsi="Aptos" w:eastAsia="Aptos" w:cs="Aptos"/>
          <w:b/>
          <w:color w:val="202020"/>
          <w:sz w:val="19"/>
        </w:rPr>
        <w:t>Unbought. Unafraid.</w:t>
      </w:r>
    </w:p>
    <w:p>
      <w:pPr>
        <w:spacing w:after="64" w:line="248" w:lineRule="auto"/>
        <w:jc w:val="center"/>
        <w:keepNext/>
        <w:keepLines/>
        <w:widowControl/>
        <w:pBdr>
          <w:bottom w:val="single" w:sz="10" w:space="6" w:color="C69C3C"/>
        </w:pBdr>
      </w:pPr>
      <w:r>
        <w:rPr>
          <w:rFonts w:ascii="Aptos" w:hAnsi="Aptos" w:eastAsia="Aptos" w:cs="Aptos"/>
          <w:color w:val="202020"/>
          <w:sz w:val="19"/>
        </w:rPr>
        <w:t>www.mooreforpa.com | facebook.com/mooreforpa | x.com/mooreforpa | instagram.com/mooreforpa</w:t>
      </w:r>
    </w:p>
    <w:p>
      <w:pPr>
        <w:spacing w:after="60" w:before="40" w:line="240" w:lineRule="auto"/>
        <w:keepLines/>
        <w:widowControl/>
        <w:keepNext/>
        <w:pBdr>
          <w:bottom w:val="single" w:sz="8" w:space="3" w:color="C69C3C"/>
        </w:pBdr>
      </w:pPr>
      <w:r>
        <w:rPr>
          <w:rFonts w:ascii="Aptos" w:hAnsi="Aptos" w:eastAsia="Aptos" w:cs="Aptos"/>
          <w:b/>
          <w:color w:val="17365D"/>
          <w:sz w:val="27"/>
        </w:rPr>
        <w:t>Executive Summary</w:t>
      </w:r>
    </w:p>
    <w:p>
      <w:pPr>
        <w:spacing w:after="80" w:line="248" w:lineRule="auto"/>
        <w:widowControl/>
      </w:pPr>
      <w:r>
        <w:rPr>
          <w:rFonts w:ascii="Aptos" w:hAnsi="Aptos" w:eastAsia="Aptos" w:cs="Aptos"/>
          <w:color w:val="202020"/>
          <w:sz w:val="19"/>
        </w:rPr>
        <w:t>The Pennsylvania Transportation Reform is a comprehensive transportation-cost, infrastructure, and accountability framework designed to lower direct driving costs while maintaining reliable roads, bridges, freight corridors, transit, local transportation, and public safety. It replaces an aging fuel-tax and passenger-toll model with a broader, more transparent funding structure, moves heavy commercial road funding toward weight and actual non-Turnpike mileage, puts repair before lower-priority expansion, restructures Turnpike debt and governance, protects municipalities, modernizes vehicle inspections, and makes transportation spending publicly traceable.</w:t>
      </w:r>
    </w:p>
    <w:p>
      <w:pPr>
        <w:pStyle w:val="ListBullet"/>
        <w:spacing w:after="45" w:line="247" w:lineRule="auto"/>
        <w:keepLines/>
        <w:widowControl/>
      </w:pPr>
      <w:r>
        <w:rPr>
          <w:rFonts w:ascii="Aptos" w:hAnsi="Aptos" w:eastAsia="Aptos" w:cs="Aptos"/>
          <w:b/>
          <w:color w:val="17365D"/>
          <w:sz w:val="18"/>
        </w:rPr>
        <w:t>Phase out Pennsylvania's state gasoline tax over five years:</w:t>
      </w:r>
      <w:r>
        <w:rPr>
          <w:rFonts w:ascii="Aptos" w:hAnsi="Aptos" w:eastAsia="Aptos" w:cs="Aptos"/>
          <w:color w:val="202020"/>
          <w:sz w:val="18"/>
        </w:rPr>
        <w:t xml:space="preserve"> 15 percent cumulative relief in Year 1, 30 percent in Year 2, 55 percent in Year 3, 80 percent in Year 4, and full elimination in Year 5.</w:t>
      </w:r>
    </w:p>
    <w:p>
      <w:pPr>
        <w:pStyle w:val="ListBullet"/>
        <w:spacing w:after="45" w:line="247" w:lineRule="auto"/>
        <w:keepLines/>
        <w:widowControl/>
      </w:pPr>
      <w:r>
        <w:rPr>
          <w:rFonts w:ascii="Aptos" w:hAnsi="Aptos" w:eastAsia="Aptos" w:cs="Aptos"/>
          <w:color w:val="202020"/>
          <w:sz w:val="18"/>
        </w:rPr>
        <w:t>Reduce passenger Turnpike tolls by approximately 25 percent in Year 1 and 50 percent in Year 2, then eliminate passenger and commuter tolls in Year 3, subject to lawful debt and transition requirements.</w:t>
      </w:r>
    </w:p>
    <w:p>
      <w:pPr>
        <w:pStyle w:val="ListBullet"/>
        <w:spacing w:after="45" w:line="247" w:lineRule="auto"/>
        <w:keepLines/>
        <w:widowControl/>
      </w:pPr>
      <w:r>
        <w:rPr>
          <w:rFonts w:ascii="Aptos" w:hAnsi="Aptos" w:eastAsia="Aptos" w:cs="Aptos"/>
          <w:color w:val="202020"/>
          <w:sz w:val="18"/>
        </w:rPr>
        <w:t>Phase Pennsylvania's state sales-tax rate from 6 percent toward 9 percent as the primary broad passenger-side replacement source, while preserving protected necessities and coordinating the rate with commercial revenue, federal funds, debt restructuring, savings, and other dedicated transportation revenue.</w:t>
      </w:r>
    </w:p>
    <w:p>
      <w:pPr>
        <w:pStyle w:val="ListBullet"/>
        <w:spacing w:after="45" w:line="247" w:lineRule="auto"/>
        <w:keepLines/>
        <w:widowControl/>
      </w:pPr>
      <w:r>
        <w:rPr>
          <w:rFonts w:ascii="Aptos" w:hAnsi="Aptos" w:eastAsia="Aptos" w:cs="Aptos"/>
          <w:color w:val="202020"/>
          <w:sz w:val="18"/>
        </w:rPr>
        <w:t>Replace the covered commercial diesel-tax structure with a weight-based road-use charge on qualifying non-Turnpike Pennsylvania miles, using a working base model of approximately 8, 12, and 15 cents per mile by weight class.</w:t>
      </w:r>
    </w:p>
    <w:p>
      <w:pPr>
        <w:pStyle w:val="ListBullet"/>
        <w:spacing w:after="45" w:line="247" w:lineRule="auto"/>
        <w:keepLines/>
        <w:widowControl/>
      </w:pPr>
      <w:r>
        <w:rPr>
          <w:rFonts w:ascii="Aptos" w:hAnsi="Aptos" w:eastAsia="Aptos" w:cs="Aptos"/>
          <w:color w:val="202020"/>
          <w:sz w:val="18"/>
        </w:rPr>
        <w:t>Reduce commercial Turnpike tolls by approximately 10 percent in the working model, exclude Turnpike miles from the commercial road-use charge, and prohibit mandatory continuous government GPS tracking solely for tax collection.</w:t>
      </w:r>
    </w:p>
    <w:p>
      <w:pPr>
        <w:pStyle w:val="ListBullet"/>
        <w:spacing w:after="45" w:line="247" w:lineRule="auto"/>
        <w:keepLines/>
        <w:widowControl/>
      </w:pPr>
      <w:r>
        <w:rPr>
          <w:rFonts w:ascii="Aptos" w:hAnsi="Aptos" w:eastAsia="Aptos" w:cs="Aptos"/>
          <w:b/>
          <w:color w:val="17365D"/>
          <w:sz w:val="18"/>
        </w:rPr>
        <w:t>Protect small carriers with permanent discounts:</w:t>
      </w:r>
      <w:r>
        <w:rPr>
          <w:rFonts w:ascii="Aptos" w:hAnsi="Aptos" w:eastAsia="Aptos" w:cs="Aptos"/>
          <w:color w:val="202020"/>
          <w:sz w:val="18"/>
        </w:rPr>
        <w:t xml:space="preserve"> 25 percent for qualifying fleets of 1 to 6 power units and 20 percent for qualifying fleets of 7 to 20 power units, applied without residency discrimination and with anti-shell-company safeguards.</w:t>
      </w:r>
    </w:p>
    <w:p>
      <w:pPr>
        <w:pStyle w:val="ListBullet"/>
        <w:spacing w:after="45" w:line="247" w:lineRule="auto"/>
        <w:keepLines/>
        <w:widowControl/>
      </w:pPr>
      <w:r>
        <w:rPr>
          <w:rFonts w:ascii="Aptos" w:hAnsi="Aptos" w:eastAsia="Aptos" w:cs="Aptos"/>
          <w:color w:val="202020"/>
          <w:sz w:val="18"/>
        </w:rPr>
        <w:t>Make Fix Roads First the governing infrastructure rule and reduce the statewide repair backlog by at least 50 percent before broad lower-priority expansion resumes.</w:t>
      </w:r>
    </w:p>
    <w:p>
      <w:pPr>
        <w:pStyle w:val="ListBullet"/>
        <w:spacing w:after="45" w:line="247" w:lineRule="auto"/>
        <w:keepLines/>
        <w:widowControl/>
      </w:pPr>
      <w:r>
        <w:rPr>
          <w:rFonts w:ascii="Aptos" w:hAnsi="Aptos" w:eastAsia="Aptos" w:cs="Aptos"/>
          <w:color w:val="202020"/>
          <w:sz w:val="18"/>
        </w:rPr>
        <w:t>Restructure Turnpike legacy debt, dissolve the Pennsylvania Turnpike Commission as a separate statewide bureaucracy, integrate appropriate functions into PennDOT, protect Liquid Fuels funding, move inappropriate State Police costs to public-safety funding, and publicly track every major transportation dollar.</w:t>
      </w:r>
    </w:p>
    <w:p>
      <w:pPr>
        <w:pStyle w:val="ListBullet"/>
        <w:spacing w:after="45" w:line="247" w:lineRule="auto"/>
        <w:keepLines/>
        <w:widowControl/>
      </w:pPr>
      <w:r>
        <w:rPr>
          <w:rFonts w:ascii="Aptos" w:hAnsi="Aptos" w:eastAsia="Aptos" w:cs="Aptos"/>
          <w:color w:val="202020"/>
          <w:sz w:val="18"/>
        </w:rPr>
        <w:t>Modernize vehicle inspections and registration through biennial inspections for most passenger vehicles, annual inspections for high-risk vehicles, emissions rollback where lawfully permitted, digital registration, grace periods, mobile inspection options, low-mileage and seasonal relief, fee controls, fraud enforcement, and privacy protections.</w:t>
      </w:r>
    </w:p>
    <w:p>
      <w:pPr>
        <w:spacing w:before="140" w:after="60" w:line="240" w:lineRule="auto"/>
        <w:keepLines/>
        <w:widowControl/>
        <w:keepNext/>
        <w:pBdr>
          <w:bottom w:val="single" w:sz="8" w:space="3" w:color="C69C3C"/>
        </w:pBdr>
      </w:pPr>
      <w:r>
        <w:rPr>
          <w:rFonts w:ascii="Aptos" w:hAnsi="Aptos" w:eastAsia="Aptos" w:cs="Aptos"/>
          <w:b/>
          <w:color w:val="17365D"/>
          <w:sz w:val="27"/>
        </w:rPr>
        <w:t>Core Transition Schedule</w:t>
      </w:r>
    </w:p>
    <w:p>
      <w:pPr>
        <w:pStyle w:val="ListBullet"/>
        <w:spacing w:after="45" w:line="247" w:lineRule="auto"/>
        <w:keepLines/>
        <w:widowControl/>
      </w:pPr>
      <w:r>
        <w:rPr>
          <w:rFonts w:ascii="Aptos" w:hAnsi="Aptos" w:eastAsia="Aptos" w:cs="Aptos"/>
          <w:b/>
          <w:color w:val="17365D"/>
          <w:sz w:val="18"/>
        </w:rPr>
        <w:t>Gasoline tax:</w:t>
      </w:r>
      <w:r>
        <w:rPr>
          <w:rFonts w:ascii="Aptos" w:hAnsi="Aptos" w:eastAsia="Aptos" w:cs="Aptos"/>
          <w:color w:val="202020"/>
          <w:sz w:val="18"/>
        </w:rPr>
        <w:t xml:space="preserve"> Year 1 - 15 percent cumulative reduction; Year 2 - 30 percent; Year 3 - 55 percent; Year 4 - 80 percent; Year 5 - eliminated.</w:t>
      </w:r>
    </w:p>
    <w:p>
      <w:pPr>
        <w:pStyle w:val="ListBullet"/>
        <w:spacing w:after="45" w:line="247" w:lineRule="auto"/>
        <w:keepLines/>
        <w:widowControl/>
      </w:pPr>
      <w:r>
        <w:rPr>
          <w:rFonts w:ascii="Aptos" w:hAnsi="Aptos" w:eastAsia="Aptos" w:cs="Aptos"/>
          <w:b/>
          <w:color w:val="17365D"/>
          <w:sz w:val="18"/>
        </w:rPr>
        <w:t>Passenger Turnpike tolls:</w:t>
      </w:r>
      <w:r>
        <w:rPr>
          <w:rFonts w:ascii="Aptos" w:hAnsi="Aptos" w:eastAsia="Aptos" w:cs="Aptos"/>
          <w:color w:val="202020"/>
          <w:sz w:val="18"/>
        </w:rPr>
        <w:t xml:space="preserve"> Year 1 - approximately 25 percent reduction; Year 2 - approximately 50 percent reduction; Year 3 - eliminated.</w:t>
      </w:r>
    </w:p>
    <w:p>
      <w:pPr>
        <w:pStyle w:val="ListBullet"/>
        <w:spacing w:after="45" w:line="247" w:lineRule="auto"/>
        <w:keepLines/>
        <w:widowControl/>
      </w:pPr>
      <w:r>
        <w:rPr>
          <w:rFonts w:ascii="Aptos" w:hAnsi="Aptos" w:eastAsia="Aptos" w:cs="Aptos"/>
          <w:b/>
          <w:color w:val="17365D"/>
          <w:sz w:val="18"/>
        </w:rPr>
        <w:t>State sales tax:</w:t>
      </w:r>
      <w:r>
        <w:rPr>
          <w:rFonts w:ascii="Aptos" w:hAnsi="Aptos" w:eastAsia="Aptos" w:cs="Aptos"/>
          <w:color w:val="202020"/>
          <w:sz w:val="18"/>
        </w:rPr>
        <w:t xml:space="preserve"> phased from 6 percent toward 9 percent during the transportation transition, with annual steps established through implementing legislation and fiscal certification.</w:t>
      </w:r>
    </w:p>
    <w:p>
      <w:pPr>
        <w:pStyle w:val="ListBullet"/>
        <w:spacing w:after="45" w:line="247" w:lineRule="auto"/>
        <w:keepLines/>
        <w:widowControl/>
      </w:pPr>
      <w:r>
        <w:rPr>
          <w:rFonts w:ascii="Aptos" w:hAnsi="Aptos" w:eastAsia="Aptos" w:cs="Aptos"/>
          <w:b/>
          <w:color w:val="17365D"/>
          <w:sz w:val="18"/>
        </w:rPr>
        <w:t>Commercial diesel tax:</w:t>
      </w:r>
      <w:r>
        <w:rPr>
          <w:rFonts w:ascii="Aptos" w:hAnsi="Aptos" w:eastAsia="Aptos" w:cs="Aptos"/>
          <w:color w:val="202020"/>
          <w:sz w:val="18"/>
        </w:rPr>
        <w:t xml:space="preserve"> replaced as the commercial road-use system becomes operational; it is not stacked on top of the replacement charge.</w:t>
      </w:r>
    </w:p>
    <w:p>
      <w:pPr>
        <w:pStyle w:val="ListBullet"/>
        <w:spacing w:after="45" w:line="247" w:lineRule="auto"/>
        <w:keepLines/>
        <w:widowControl/>
      </w:pPr>
      <w:r>
        <w:rPr>
          <w:rFonts w:ascii="Aptos" w:hAnsi="Aptos" w:eastAsia="Aptos" w:cs="Aptos"/>
          <w:b/>
          <w:color w:val="17365D"/>
          <w:sz w:val="18"/>
        </w:rPr>
        <w:t>Commercial Turnpike tolls:</w:t>
      </w:r>
      <w:r>
        <w:rPr>
          <w:rFonts w:ascii="Aptos" w:hAnsi="Aptos" w:eastAsia="Aptos" w:cs="Aptos"/>
          <w:color w:val="202020"/>
          <w:sz w:val="18"/>
        </w:rPr>
        <w:t xml:space="preserve"> working target of approximately 10 percent lower rates, subject to debt, traffic, infrastructure, and fiscal review.</w:t>
      </w:r>
    </w:p>
    <w:p>
      <w:pPr>
        <w:pStyle w:val="ListBullet"/>
        <w:spacing w:after="45" w:line="247" w:lineRule="auto"/>
        <w:keepLines/>
        <w:widowControl/>
      </w:pPr>
      <w:r>
        <w:rPr>
          <w:rFonts w:ascii="Aptos" w:hAnsi="Aptos" w:eastAsia="Aptos" w:cs="Aptos"/>
          <w:b/>
          <w:color w:val="17365D"/>
          <w:sz w:val="18"/>
        </w:rPr>
        <w:t>Fix Roads First:</w:t>
      </w:r>
      <w:r>
        <w:rPr>
          <w:rFonts w:ascii="Aptos" w:hAnsi="Aptos" w:eastAsia="Aptos" w:cs="Aptos"/>
          <w:color w:val="202020"/>
          <w:sz w:val="18"/>
        </w:rPr>
        <w:t xml:space="preserve"> lower-priority expansion paused until the statewide transportation audit is complete and the repair backlog is reduced by at least 50 percent, except justified safety-critical or necessary capacity projects.</w:t>
      </w:r>
    </w:p>
    <w:p>
      <w:pPr>
        <w:pStyle w:val="ListBullet"/>
        <w:spacing w:after="45" w:line="247" w:lineRule="auto"/>
        <w:keepLines/>
        <w:widowControl/>
      </w:pPr>
      <w:r>
        <w:rPr>
          <w:rFonts w:ascii="Aptos" w:hAnsi="Aptos" w:eastAsia="Aptos" w:cs="Aptos"/>
          <w:b/>
          <w:color w:val="17365D"/>
          <w:sz w:val="18"/>
        </w:rPr>
        <w:t>State Police transportation-account transition:</w:t>
      </w:r>
      <w:r>
        <w:rPr>
          <w:rFonts w:ascii="Aptos" w:hAnsi="Aptos" w:eastAsia="Aptos" w:cs="Aptos"/>
          <w:color w:val="202020"/>
          <w:sz w:val="18"/>
        </w:rPr>
        <w:t xml:space="preserve"> inappropriate transportation-funded costs move to the Public Safety funding structure over a five-year transition.</w:t>
      </w:r>
    </w:p>
    <w:p>
      <w:pPr>
        <w:spacing w:before="140" w:after="60" w:line="240" w:lineRule="auto"/>
        <w:keepLines/>
        <w:widowControl/>
        <w:keepNext/>
        <w:pBdr>
          <w:bottom w:val="single" w:sz="8" w:space="3" w:color="C69C3C"/>
        </w:pBdr>
      </w:pPr>
      <w:r>
        <w:rPr>
          <w:rFonts w:ascii="Aptos" w:hAnsi="Aptos" w:eastAsia="Aptos" w:cs="Aptos"/>
          <w:b/>
          <w:color w:val="17365D"/>
          <w:sz w:val="27"/>
        </w:rPr>
        <w:t>Table of Contents</w:t>
      </w:r>
    </w:p>
    <w:p>
      <w:pPr>
        <w:spacing w:after="26" w:line="240" w:lineRule="auto"/>
        <w:ind w:left="43"/>
        <w:keepNext w:val="0"/>
        <w:keepLines/>
        <w:widowControl/>
      </w:pPr>
      <w:r>
        <w:rPr>
          <w:rFonts w:ascii="Aptos" w:hAnsi="Aptos" w:eastAsia="Aptos" w:cs="Aptos"/>
          <w:color w:val="1F4E79"/>
          <w:sz w:val="18"/>
        </w:rPr>
        <w:t>1. Part 1 - Core Mission, Scope, Targets, and Governing Principles</w:t>
      </w:r>
    </w:p>
    <w:p>
      <w:pPr>
        <w:spacing w:after="26" w:line="240" w:lineRule="auto"/>
        <w:ind w:left="43"/>
        <w:keepNext w:val="0"/>
        <w:keepLines/>
        <w:widowControl/>
      </w:pPr>
      <w:r>
        <w:rPr>
          <w:rFonts w:ascii="Aptos" w:hAnsi="Aptos" w:eastAsia="Aptos" w:cs="Aptos"/>
          <w:color w:val="1F4E79"/>
          <w:sz w:val="18"/>
        </w:rPr>
        <w:t>2. Part 2 - Gasoline-Tax Phaseout and Passenger Driver Relief</w:t>
      </w:r>
    </w:p>
    <w:p>
      <w:pPr>
        <w:spacing w:after="26" w:line="240" w:lineRule="auto"/>
        <w:ind w:left="43"/>
        <w:keepNext w:val="0"/>
        <w:keepLines/>
        <w:widowControl/>
      </w:pPr>
      <w:r>
        <w:rPr>
          <w:rFonts w:ascii="Aptos" w:hAnsi="Aptos" w:eastAsia="Aptos" w:cs="Aptos"/>
          <w:color w:val="1F4E79"/>
          <w:sz w:val="18"/>
        </w:rPr>
        <w:t>3. Part 3 - Passenger Turnpike Toll Elimination and Sales-Tax Replacement</w:t>
      </w:r>
    </w:p>
    <w:p>
      <w:pPr>
        <w:spacing w:after="26" w:line="240" w:lineRule="auto"/>
        <w:ind w:left="43"/>
        <w:keepNext w:val="0"/>
        <w:keepLines/>
        <w:widowControl/>
      </w:pPr>
      <w:r>
        <w:rPr>
          <w:rFonts w:ascii="Aptos" w:hAnsi="Aptos" w:eastAsia="Aptos" w:cs="Aptos"/>
          <w:color w:val="1F4E79"/>
          <w:sz w:val="18"/>
        </w:rPr>
        <w:t>4. Part 4 - Commercial Diesel Transition and Weight-Based Road-Use Funding</w:t>
      </w:r>
    </w:p>
    <w:p>
      <w:pPr>
        <w:spacing w:after="26" w:line="240" w:lineRule="auto"/>
        <w:ind w:left="43"/>
        <w:keepNext w:val="0"/>
        <w:keepLines/>
        <w:widowControl/>
      </w:pPr>
      <w:r>
        <w:rPr>
          <w:rFonts w:ascii="Aptos" w:hAnsi="Aptos" w:eastAsia="Aptos" w:cs="Aptos"/>
          <w:color w:val="1F4E79"/>
          <w:sz w:val="18"/>
        </w:rPr>
        <w:t>5. Part 5 - Small-Carrier Protection, Fairness, and Interstate Neutrality</w:t>
      </w:r>
    </w:p>
    <w:p>
      <w:pPr>
        <w:spacing w:after="26" w:line="240" w:lineRule="auto"/>
        <w:ind w:left="43"/>
        <w:keepNext w:val="0"/>
        <w:keepLines/>
        <w:widowControl/>
      </w:pPr>
      <w:r>
        <w:rPr>
          <w:rFonts w:ascii="Aptos" w:hAnsi="Aptos" w:eastAsia="Aptos" w:cs="Aptos"/>
          <w:color w:val="1F4E79"/>
          <w:sz w:val="18"/>
        </w:rPr>
        <w:t>6. Part 6 - Commercial Turnpike Toll Reform, Mileage Exclusion, and Privacy</w:t>
      </w:r>
    </w:p>
    <w:p>
      <w:pPr>
        <w:spacing w:after="26" w:line="240" w:lineRule="auto"/>
        <w:ind w:left="43"/>
        <w:keepNext w:val="0"/>
        <w:keepLines/>
        <w:widowControl/>
      </w:pPr>
      <w:r>
        <w:rPr>
          <w:rFonts w:ascii="Aptos" w:hAnsi="Aptos" w:eastAsia="Aptos" w:cs="Aptos"/>
          <w:color w:val="1F4E79"/>
          <w:sz w:val="18"/>
        </w:rPr>
        <w:t>7. Part 7 - Freight Routing, Local-Road Protection, and Legitimate Commercial Access</w:t>
      </w:r>
    </w:p>
    <w:p>
      <w:pPr>
        <w:spacing w:after="26" w:line="240" w:lineRule="auto"/>
        <w:ind w:left="43"/>
        <w:keepNext w:val="0"/>
        <w:keepLines/>
        <w:widowControl/>
      </w:pPr>
      <w:r>
        <w:rPr>
          <w:rFonts w:ascii="Aptos" w:hAnsi="Aptos" w:eastAsia="Aptos" w:cs="Aptos"/>
          <w:color w:val="1F4E79"/>
          <w:sz w:val="18"/>
        </w:rPr>
        <w:t>8. Part 8 - Fix Roads First, Repair Backlog, Expansion Limits, and Toll-Facility Review</w:t>
      </w:r>
    </w:p>
    <w:p>
      <w:pPr>
        <w:spacing w:after="26" w:line="240" w:lineRule="auto"/>
        <w:ind w:left="43"/>
        <w:keepNext w:val="0"/>
        <w:keepLines/>
        <w:widowControl/>
      </w:pPr>
      <w:r>
        <w:rPr>
          <w:rFonts w:ascii="Aptos" w:hAnsi="Aptos" w:eastAsia="Aptos" w:cs="Aptos"/>
          <w:color w:val="1F4E79"/>
          <w:sz w:val="18"/>
        </w:rPr>
        <w:t>9. Part 9 - Statewide Transportation Audit, Procurement, Contractors, and Project Accountability</w:t>
      </w:r>
    </w:p>
    <w:p>
      <w:pPr>
        <w:spacing w:after="26" w:line="240" w:lineRule="auto"/>
        <w:ind w:left="43"/>
        <w:keepNext w:val="0"/>
        <w:keepLines/>
        <w:widowControl/>
      </w:pPr>
      <w:r>
        <w:rPr>
          <w:rFonts w:ascii="Aptos" w:hAnsi="Aptos" w:eastAsia="Aptos" w:cs="Aptos"/>
          <w:color w:val="1F4E79"/>
          <w:sz w:val="18"/>
        </w:rPr>
        <w:t>10. Part 10 - Turnpike Debt, Legacy Obligations, Commission Dissolution, and PennDOT Integration</w:t>
      </w:r>
    </w:p>
    <w:p>
      <w:pPr>
        <w:spacing w:after="26" w:line="240" w:lineRule="auto"/>
        <w:ind w:left="43"/>
        <w:keepNext w:val="0"/>
        <w:keepLines/>
        <w:widowControl/>
      </w:pPr>
      <w:r>
        <w:rPr>
          <w:rFonts w:ascii="Aptos" w:hAnsi="Aptos" w:eastAsia="Aptos" w:cs="Aptos"/>
          <w:color w:val="1F4E79"/>
          <w:sz w:val="18"/>
        </w:rPr>
        <w:t>11. Part 11 - Municipal Liquid Fuels, Local Roads, Transit, and Essential Transportation Services</w:t>
      </w:r>
    </w:p>
    <w:p>
      <w:pPr>
        <w:spacing w:after="26" w:line="240" w:lineRule="auto"/>
        <w:ind w:left="43"/>
        <w:keepNext w:val="0"/>
        <w:keepLines/>
        <w:widowControl/>
      </w:pPr>
      <w:r>
        <w:rPr>
          <w:rFonts w:ascii="Aptos" w:hAnsi="Aptos" w:eastAsia="Aptos" w:cs="Aptos"/>
          <w:color w:val="1F4E79"/>
          <w:sz w:val="18"/>
        </w:rPr>
        <w:t>12. Part 12 - Vehicle Inspection, Emissions, Registration, and Roadworthiness Modernization</w:t>
      </w:r>
    </w:p>
    <w:p>
      <w:pPr>
        <w:spacing w:after="26" w:line="240" w:lineRule="auto"/>
        <w:ind w:left="43"/>
        <w:keepNext w:val="0"/>
        <w:keepLines/>
        <w:widowControl/>
      </w:pPr>
      <w:r>
        <w:rPr>
          <w:rFonts w:ascii="Aptos" w:hAnsi="Aptos" w:eastAsia="Aptos" w:cs="Aptos"/>
          <w:color w:val="1F4E79"/>
          <w:sz w:val="18"/>
        </w:rPr>
        <w:t>13. Part 13 - State Police Funding, Public Safety Coordination, and Emergency Transportation</w:t>
      </w:r>
    </w:p>
    <w:p>
      <w:pPr>
        <w:spacing w:after="26" w:line="240" w:lineRule="auto"/>
        <w:ind w:left="43"/>
        <w:keepNext w:val="0"/>
        <w:keepLines/>
        <w:widowControl/>
      </w:pPr>
      <w:r>
        <w:rPr>
          <w:rFonts w:ascii="Aptos" w:hAnsi="Aptos" w:eastAsia="Aptos" w:cs="Aptos"/>
          <w:color w:val="1F4E79"/>
          <w:sz w:val="18"/>
        </w:rPr>
        <w:t>14. Part 14 - Dedicated Transportation Revenue, Lockboxes, Reserves, and Anti-Diversion</w:t>
      </w:r>
    </w:p>
    <w:p>
      <w:pPr>
        <w:spacing w:after="26" w:line="240" w:lineRule="auto"/>
        <w:ind w:left="43"/>
        <w:keepNext w:val="0"/>
        <w:keepLines/>
        <w:widowControl/>
      </w:pPr>
      <w:r>
        <w:rPr>
          <w:rFonts w:ascii="Aptos" w:hAnsi="Aptos" w:eastAsia="Aptos" w:cs="Aptos"/>
          <w:color w:val="1F4E79"/>
          <w:sz w:val="18"/>
        </w:rPr>
        <w:t>15. Part 15 - Transparency, Public Dashboard, Reporting, and Taxpayer Accountability</w:t>
      </w:r>
    </w:p>
    <w:p>
      <w:pPr>
        <w:spacing w:after="26" w:line="240" w:lineRule="auto"/>
        <w:ind w:left="43"/>
        <w:keepNext w:val="0"/>
        <w:keepLines/>
        <w:widowControl/>
      </w:pPr>
      <w:r>
        <w:rPr>
          <w:rFonts w:ascii="Aptos" w:hAnsi="Aptos" w:eastAsia="Aptos" w:cs="Aptos"/>
          <w:color w:val="1F4E79"/>
          <w:sz w:val="18"/>
        </w:rPr>
        <w:t>16. Part 16 - Revenue Sufficiency, Shortfalls, Excess Revenue, and Economic Safeguards</w:t>
      </w:r>
    </w:p>
    <w:p>
      <w:pPr>
        <w:spacing w:after="26" w:line="240" w:lineRule="auto"/>
        <w:ind w:left="43"/>
        <w:keepNext w:val="0"/>
        <w:keepLines/>
        <w:widowControl/>
      </w:pPr>
      <w:r>
        <w:rPr>
          <w:rFonts w:ascii="Aptos" w:hAnsi="Aptos" w:eastAsia="Aptos" w:cs="Aptos"/>
          <w:color w:val="1F4E79"/>
          <w:sz w:val="18"/>
        </w:rPr>
        <w:t>17. Part 17 - Transition, Stabilization, Technology Change, and Anti-Circumvention</w:t>
      </w:r>
    </w:p>
    <w:p>
      <w:pPr>
        <w:spacing w:after="140" w:line="240" w:lineRule="auto"/>
        <w:ind w:left="43"/>
        <w:keepNext w:val="0"/>
        <w:keepLines/>
        <w:widowControl/>
      </w:pPr>
      <w:r>
        <w:rPr>
          <w:rFonts w:ascii="Aptos" w:hAnsi="Aptos" w:eastAsia="Aptos" w:cs="Aptos"/>
          <w:color w:val="1F4E79"/>
          <w:sz w:val="18"/>
        </w:rPr>
        <w:t>18. Part 18 - Legal Authority, Implementation, Federal and Constitutional Safeguards, and Final Review</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1 - Core Mission, Scope, Targets, and Governing Principles</w:t>
      </w:r>
    </w:p>
    <w:p>
      <w:pPr>
        <w:spacing w:after="80" w:line="248" w:lineRule="auto"/>
        <w:keepNext/>
        <w:widowControl/>
      </w:pPr>
      <w:r>
        <w:rPr>
          <w:rFonts w:ascii="Aptos" w:hAnsi="Aptos" w:eastAsia="Aptos" w:cs="Aptos"/>
          <w:color w:val="202020"/>
          <w:sz w:val="19"/>
        </w:rPr>
        <w:t>This reform begins from a simple premise: Pennsylvanians should not pay more and more at the pump, at toll booths, through shipping costs, and through hidden transportation charges while roads, bridges, debt, maintenance, and project delivery remain mismanaged. The system must lower direct transportation costs, fund infrastructure honestly, protect communities, and put repair and accountability ahead of bureaucracy.</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The governing standard is Fix Roads First. Existing roads, bridges, drainage, retaining walls, pavement, high-crash locations, and other essential infrastructure take priority over broad lower-priority expansion.</w:t>
      </w:r>
    </w:p>
    <w:p>
      <w:pPr>
        <w:pStyle w:val="ListBullet"/>
        <w:spacing w:after="45" w:line="247" w:lineRule="auto"/>
        <w:keepLines/>
        <w:widowControl/>
      </w:pPr>
      <w:r>
        <w:rPr>
          <w:rFonts w:ascii="Aptos" w:hAnsi="Aptos" w:eastAsia="Aptos" w:cs="Aptos"/>
          <w:color w:val="202020"/>
          <w:sz w:val="18"/>
        </w:rPr>
        <w:t>The gasoline tax is phased out over five years and passenger Turnpike tolls are eliminated within three years through a responsible, debt-aware transition.</w:t>
      </w:r>
    </w:p>
    <w:p>
      <w:pPr>
        <w:pStyle w:val="ListBullet"/>
        <w:spacing w:after="45" w:line="247" w:lineRule="auto"/>
        <w:keepLines/>
        <w:widowControl/>
      </w:pPr>
      <w:r>
        <w:rPr>
          <w:rFonts w:ascii="Aptos" w:hAnsi="Aptos" w:eastAsia="Aptos" w:cs="Aptos"/>
          <w:color w:val="202020"/>
          <w:sz w:val="18"/>
        </w:rPr>
        <w:t>The covered commercial diesel tax is replaced, not stacked, by a fairer commercial road-use structure tied to vehicle weight and qualifying non-Turnpike Pennsylvania mileage.</w:t>
      </w:r>
    </w:p>
    <w:p>
      <w:pPr>
        <w:pStyle w:val="ListBullet"/>
        <w:spacing w:after="45" w:line="247" w:lineRule="auto"/>
        <w:keepLines/>
        <w:widowControl/>
      </w:pPr>
      <w:r>
        <w:rPr>
          <w:rFonts w:ascii="Aptos" w:hAnsi="Aptos" w:eastAsia="Aptos" w:cs="Aptos"/>
          <w:color w:val="202020"/>
          <w:sz w:val="18"/>
        </w:rPr>
        <w:t>Transportation replacement revenue remains dedicated, separately accounted for, audited, and protected from diversion or double-counting with Property Tax Reform, Education Reform, Public Safety Reform, healthcare, or other commitments.</w:t>
      </w:r>
    </w:p>
    <w:p>
      <w:pPr>
        <w:pStyle w:val="ListBullet"/>
        <w:spacing w:after="45" w:line="247" w:lineRule="auto"/>
        <w:keepLines/>
        <w:widowControl/>
      </w:pPr>
      <w:r>
        <w:rPr>
          <w:rFonts w:ascii="Aptos" w:hAnsi="Aptos" w:eastAsia="Aptos" w:cs="Aptos"/>
          <w:color w:val="202020"/>
          <w:sz w:val="18"/>
        </w:rPr>
        <w:t>Passenger drivers are protected against broad mileage surveillance, hidden motorist fees, substitute commuter tolls, and equivalent charges designed primarily to recreate the eliminated burden.</w:t>
      </w:r>
    </w:p>
    <w:p>
      <w:pPr>
        <w:pStyle w:val="ListBullet"/>
        <w:spacing w:after="45" w:line="247" w:lineRule="auto"/>
        <w:keepLines/>
        <w:widowControl/>
      </w:pPr>
      <w:r>
        <w:rPr>
          <w:rFonts w:ascii="Aptos" w:hAnsi="Aptos" w:eastAsia="Aptos" w:cs="Aptos"/>
          <w:color w:val="202020"/>
          <w:sz w:val="18"/>
        </w:rPr>
        <w:t>Essential transit, local roads, rural access, paratransit, senior transportation, disability transportation, freight corridors, and lawful debt obligations remain protected during implementation.</w:t>
      </w:r>
    </w:p>
    <w:p>
      <w:pPr>
        <w:pStyle w:val="ListBullet"/>
        <w:spacing w:after="45" w:line="247" w:lineRule="auto"/>
        <w:keepLines/>
        <w:widowControl/>
      </w:pPr>
      <w:r>
        <w:rPr>
          <w:rFonts w:ascii="Aptos" w:hAnsi="Aptos" w:eastAsia="Aptos" w:cs="Aptos"/>
          <w:color w:val="202020"/>
          <w:sz w:val="18"/>
        </w:rPr>
        <w:t>Government protects safety, mobility, and essential service. It does not protect unnecessary duplication, unjustified administration, wasteful contracts, avoidable project delays, or failed procurement.</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2 - Gasoline-Tax Phaseout and Passenger Driver Relief</w:t>
      </w:r>
    </w:p>
    <w:p>
      <w:pPr>
        <w:spacing w:after="64" w:line="248" w:lineRule="auto"/>
        <w:keepNext/>
        <w:widowControl/>
      </w:pPr>
      <w:r>
        <w:rPr>
          <w:rFonts w:ascii="Aptos" w:hAnsi="Aptos" w:eastAsia="Aptos" w:cs="Aptos"/>
          <w:color w:val="202020"/>
          <w:sz w:val="19"/>
        </w:rPr>
        <w:t>Pennsylvania should not rely indefinitely on a fuel tax that penalizes residents simply because they must drive and becomes less stable as vehicles become more efficient. The gasoline-tax phaseout is a permanent structural change, not a temporary tax holiday.</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The cumulative gasoline-tax reduction schedule is 15 percent in Year 1, 30 percent in Year 2, 55 percent in Year 3, 80 percent in Year 4, and 100 percent elimination in Year 5.</w:t>
      </w:r>
    </w:p>
    <w:p>
      <w:pPr>
        <w:pStyle w:val="ListBullet"/>
        <w:spacing w:after="45" w:line="247" w:lineRule="auto"/>
        <w:keepLines/>
        <w:widowControl/>
      </w:pPr>
      <w:r>
        <w:rPr>
          <w:rFonts w:ascii="Aptos" w:hAnsi="Aptos" w:eastAsia="Aptos" w:cs="Aptos"/>
          <w:color w:val="202020"/>
          <w:sz w:val="18"/>
        </w:rPr>
        <w:t>The underlying annual step-down is 15 percentage points in Year 1, an additional 15 points in Year 2, an additional 25 points in Year 3, an additional 25 points in Year 4, and the remaining 20 points in Year 5.</w:t>
      </w:r>
    </w:p>
    <w:p>
      <w:pPr>
        <w:pStyle w:val="ListBullet"/>
        <w:spacing w:after="45" w:line="247" w:lineRule="auto"/>
        <w:keepLines/>
        <w:widowControl/>
      </w:pPr>
      <w:r>
        <w:rPr>
          <w:rFonts w:ascii="Aptos" w:hAnsi="Aptos" w:eastAsia="Aptos" w:cs="Aptos"/>
          <w:color w:val="202020"/>
          <w:sz w:val="18"/>
        </w:rPr>
        <w:t>Gasoline-tax reductions are coordinated with replacement revenue, federal transportation funds, debt restructuring, commercial revenue, audit savings, procurement savings, and existing transportation revenue so relief does not create a maintenance crisis.</w:t>
      </w:r>
    </w:p>
    <w:p>
      <w:pPr>
        <w:pStyle w:val="ListBullet"/>
        <w:spacing w:after="45" w:line="247" w:lineRule="auto"/>
        <w:keepLines/>
        <w:widowControl/>
      </w:pPr>
      <w:r>
        <w:rPr>
          <w:rFonts w:ascii="Aptos" w:hAnsi="Aptos" w:eastAsia="Aptos" w:cs="Aptos"/>
          <w:color w:val="202020"/>
          <w:sz w:val="18"/>
        </w:rPr>
        <w:t>Fuel-tax relief is measured as a reduction in the state tax burden. Government shall not falsely guarantee that every cent of tax reduction will appear as an identical retail pump-price decrease.</w:t>
      </w:r>
    </w:p>
    <w:p>
      <w:pPr>
        <w:pStyle w:val="ListBullet"/>
        <w:spacing w:after="45" w:line="247" w:lineRule="auto"/>
        <w:keepLines/>
        <w:widowControl/>
      </w:pPr>
      <w:r>
        <w:rPr>
          <w:rFonts w:ascii="Aptos" w:hAnsi="Aptos" w:eastAsia="Aptos" w:cs="Aptos"/>
          <w:color w:val="202020"/>
          <w:sz w:val="18"/>
        </w:rPr>
        <w:t>No administration may pause the final phaseout merely to protect administrative spending, lower-priority expansion, duplicate bureaucracy, or nonessential programs.</w:t>
      </w:r>
    </w:p>
    <w:p>
      <w:pPr>
        <w:pStyle w:val="ListBullet"/>
        <w:spacing w:after="45" w:line="247" w:lineRule="auto"/>
        <w:keepLines/>
        <w:widowControl/>
      </w:pPr>
      <w:r>
        <w:rPr>
          <w:rFonts w:ascii="Aptos" w:hAnsi="Aptos" w:eastAsia="Aptos" w:cs="Aptos"/>
          <w:color w:val="202020"/>
          <w:sz w:val="18"/>
        </w:rPr>
        <w:t>Any temporary timing adjustment for a genuine fiscal, legal, or federal constraint requires public documentation, independent review, an expiration date, and a corrective schedule restoring the required phaseout.</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3 - Passenger Turnpike Toll Elimination and Sales-Tax Replacement</w:t>
      </w:r>
    </w:p>
    <w:p>
      <w:pPr>
        <w:spacing w:after="64" w:line="248" w:lineRule="auto"/>
        <w:keepNext/>
        <w:widowControl/>
      </w:pPr>
      <w:r>
        <w:rPr>
          <w:rFonts w:ascii="Aptos" w:hAnsi="Aptos" w:eastAsia="Aptos" w:cs="Aptos"/>
          <w:color w:val="202020"/>
          <w:sz w:val="19"/>
        </w:rPr>
        <w:t>Passenger and commuter tolls should not remain a permanent charge for ordinary travel inside Pennsylvania. Eliminating them requires a transparent replacement structure that honors lawful debt and maintenance obligations without shifting the entire burden onto commercial carriers.</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Passenger Turnpike tolls are reduced by approximately 25 percent in Year 1, approximately 50 percent in Year 2, and eliminated in Year 3.</w:t>
      </w:r>
    </w:p>
    <w:p>
      <w:pPr>
        <w:pStyle w:val="ListBullet"/>
        <w:spacing w:after="45" w:line="247" w:lineRule="auto"/>
        <w:keepLines/>
        <w:widowControl/>
      </w:pPr>
      <w:r>
        <w:rPr>
          <w:rFonts w:ascii="Aptos" w:hAnsi="Aptos" w:eastAsia="Aptos" w:cs="Aptos"/>
          <w:color w:val="202020"/>
          <w:sz w:val="18"/>
        </w:rPr>
        <w:t>The passenger-toll transition publicly accounts for outstanding Turnpike debt, lawful contracts, operations, maintenance, bridge needs, safety, commercial toll revenue, replacement revenue, and debt restructuring.</w:t>
      </w:r>
    </w:p>
    <w:p>
      <w:pPr>
        <w:pStyle w:val="ListBullet"/>
        <w:spacing w:after="45" w:line="247" w:lineRule="auto"/>
        <w:keepLines/>
        <w:widowControl/>
      </w:pPr>
      <w:r>
        <w:rPr>
          <w:rFonts w:ascii="Aptos" w:hAnsi="Aptos" w:eastAsia="Aptos" w:cs="Aptos"/>
          <w:color w:val="202020"/>
          <w:sz w:val="18"/>
        </w:rPr>
        <w:t>Pennsylvania phases the state sales-tax rate from 6 percent toward 9 percent as the primary broad passenger-side replacement source. The exact annual sales-tax steps are set in implementing legislation after fiscal certification; the approved endpoint is a 3-percentage-point shift.</w:t>
      </w:r>
    </w:p>
    <w:p>
      <w:pPr>
        <w:pStyle w:val="ListBullet"/>
        <w:spacing w:after="45" w:line="247" w:lineRule="auto"/>
        <w:keepLines/>
        <w:widowControl/>
      </w:pPr>
      <w:r>
        <w:rPr>
          <w:rFonts w:ascii="Aptos" w:hAnsi="Aptos" w:eastAsia="Aptos" w:cs="Aptos"/>
          <w:color w:val="202020"/>
          <w:sz w:val="18"/>
        </w:rPr>
        <w:t>The 3-point shift is not intended to replace every transportation dollar by itself and is not separately used to replace the commercial diesel-tax stream dollar-for-dollar.</w:t>
      </w:r>
    </w:p>
    <w:p>
      <w:pPr>
        <w:pStyle w:val="ListBullet"/>
        <w:spacing w:after="45" w:line="247" w:lineRule="auto"/>
        <w:keepLines/>
        <w:widowControl/>
      </w:pPr>
      <w:r>
        <w:rPr>
          <w:rFonts w:ascii="Aptos" w:hAnsi="Aptos" w:eastAsia="Aptos" w:cs="Aptos"/>
          <w:color w:val="202020"/>
          <w:sz w:val="18"/>
        </w:rPr>
        <w:t>Protected necessities remain protected under the broader tax framework, including groceries and basic food, clothing where exempt, most personal hygiene items where exempt, prescription medication, essential medical care, basic health services, childcare, rent, residential utilities, and other legally protected necessities.</w:t>
      </w:r>
    </w:p>
    <w:p>
      <w:pPr>
        <w:pStyle w:val="ListBullet"/>
        <w:spacing w:after="45" w:line="247" w:lineRule="auto"/>
        <w:keepLines/>
        <w:widowControl/>
      </w:pPr>
      <w:r>
        <w:rPr>
          <w:rFonts w:ascii="Aptos" w:hAnsi="Aptos" w:eastAsia="Aptos" w:cs="Aptos"/>
          <w:color w:val="202020"/>
          <w:sz w:val="18"/>
        </w:rPr>
        <w:t>If recurring transportation revenue materially exceeds verified need after debt, reserves, maintenance, local distributions, transit, and capital requirements are satisfied, the Commonwealth reviews whether the transportation-related tax burden can be reduced.</w:t>
      </w:r>
    </w:p>
    <w:p>
      <w:pPr>
        <w:pStyle w:val="ListBullet"/>
        <w:spacing w:after="45" w:line="247" w:lineRule="auto"/>
        <w:keepLines/>
        <w:widowControl/>
      </w:pPr>
      <w:r>
        <w:rPr>
          <w:rFonts w:ascii="Aptos" w:hAnsi="Aptos" w:eastAsia="Aptos" w:cs="Aptos"/>
          <w:color w:val="202020"/>
          <w:sz w:val="18"/>
        </w:rPr>
        <w:t>No new passenger toll may be recreated under another authority, label, or corridor merely to replace the tolls eliminated by this reform without separate statewide authorization and full public fiscal review.</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4 - Commercial Diesel Transition and Weight-Based Road-Use Funding</w:t>
      </w:r>
    </w:p>
    <w:p>
      <w:pPr>
        <w:spacing w:after="64" w:line="248" w:lineRule="auto"/>
        <w:keepNext/>
        <w:widowControl/>
      </w:pPr>
      <w:r>
        <w:rPr>
          <w:rFonts w:ascii="Aptos" w:hAnsi="Aptos" w:eastAsia="Aptos" w:cs="Aptos"/>
          <w:color w:val="202020"/>
          <w:sz w:val="19"/>
        </w:rPr>
        <w:t>Commercial transportation needs a system that reflects actual road use and infrastructure wear. The commercial replacement is designed to replace the covered diesel-tax obligation, preserve freight movement, and avoid charging the same mile twice.</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Covered commercial vehicles transition away from Pennsylvania's diesel-tax structure as the replacement road-use system becomes operational. The new charge replaces the covered diesel-tax obligation rather than being imposed on top of it.</w:t>
      </w:r>
    </w:p>
    <w:p>
      <w:pPr>
        <w:pStyle w:val="ListBullet"/>
        <w:spacing w:after="45" w:line="247" w:lineRule="auto"/>
        <w:keepLines/>
        <w:widowControl/>
      </w:pPr>
      <w:r>
        <w:rPr>
          <w:rFonts w:ascii="Aptos" w:hAnsi="Aptos" w:eastAsia="Aptos" w:cs="Aptos"/>
          <w:color w:val="202020"/>
          <w:sz w:val="18"/>
        </w:rPr>
        <w:t>The working model uses three weight-based base rates of approximately 8 cents, 12 cents, and 15 cents per qualifying non-Turnpike Pennsylvania mile, with final statutory weight boundaries established during implementation.</w:t>
      </w:r>
    </w:p>
    <w:p>
      <w:pPr>
        <w:pStyle w:val="ListBullet"/>
        <w:spacing w:after="45" w:line="247" w:lineRule="auto"/>
        <w:keepLines/>
        <w:widowControl/>
      </w:pPr>
      <w:r>
        <w:rPr>
          <w:rFonts w:ascii="Aptos" w:hAnsi="Aptos" w:eastAsia="Aptos" w:cs="Aptos"/>
          <w:color w:val="202020"/>
          <w:sz w:val="18"/>
        </w:rPr>
        <w:t>The existing working weight structure is approximately 26,000-40,000 pounds for the lower covered class, 40,000-60,000 pounds for the middle covered class, and 60,000-80,000 pounds or the heaviest standard covered class for the highest rate, subject to statutory technical refinement.</w:t>
      </w:r>
    </w:p>
    <w:p>
      <w:pPr>
        <w:pStyle w:val="ListBullet"/>
        <w:spacing w:after="45" w:line="247" w:lineRule="auto"/>
        <w:keepLines/>
        <w:widowControl/>
      </w:pPr>
      <w:r>
        <w:rPr>
          <w:rFonts w:ascii="Aptos" w:hAnsi="Aptos" w:eastAsia="Aptos" w:cs="Aptos"/>
          <w:color w:val="202020"/>
          <w:sz w:val="18"/>
        </w:rPr>
        <w:t>Heavier vehicles contribute more because they generally impose greater infrastructure wear. Any future rate change requires a public cost-allocation and revenue-need review; rates do not automatically increase each year.</w:t>
      </w:r>
    </w:p>
    <w:p>
      <w:pPr>
        <w:pStyle w:val="ListBullet"/>
        <w:spacing w:after="45" w:line="247" w:lineRule="auto"/>
        <w:keepLines/>
        <w:widowControl/>
      </w:pPr>
      <w:r>
        <w:rPr>
          <w:rFonts w:ascii="Aptos" w:hAnsi="Aptos" w:eastAsia="Aptos" w:cs="Aptos"/>
          <w:color w:val="202020"/>
          <w:sz w:val="18"/>
        </w:rPr>
        <w:t>Commercial revenue is supported by road-use charges, reduced commercial Turnpike tolls, federal funds, and other dedicated transportation revenue, not by preserving the old diesel tax alongside the replacement system.</w:t>
      </w:r>
    </w:p>
    <w:p>
      <w:pPr>
        <w:pStyle w:val="ListBullet"/>
        <w:spacing w:after="45" w:line="247" w:lineRule="auto"/>
        <w:keepLines/>
        <w:widowControl/>
      </w:pPr>
      <w:r>
        <w:rPr>
          <w:rFonts w:ascii="Aptos" w:hAnsi="Aptos" w:eastAsia="Aptos" w:cs="Aptos"/>
          <w:color w:val="202020"/>
          <w:sz w:val="18"/>
        </w:rPr>
        <w:t>Commercial road-use rules apply to qualifying in-state and interstate carriers on the same road-use basis, subject to federal law and interstate-commerce protections.</w:t>
      </w:r>
    </w:p>
    <w:p>
      <w:pPr>
        <w:pStyle w:val="ListBullet"/>
        <w:spacing w:after="45" w:line="247" w:lineRule="auto"/>
        <w:keepLines/>
        <w:widowControl/>
      </w:pPr>
      <w:r>
        <w:rPr>
          <w:rFonts w:ascii="Aptos" w:hAnsi="Aptos" w:eastAsia="Aptos" w:cs="Aptos"/>
          <w:color w:val="202020"/>
          <w:sz w:val="18"/>
        </w:rPr>
        <w:t>The commercial system is periodically reconciled against actual collections, road and bridge needs, freight impacts, and carrier burden to prevent overcollection or chronic underfunding.</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5 - Small-Carrier Protection, Fairness, and Interstate Neutrality</w:t>
      </w:r>
    </w:p>
    <w:p>
      <w:pPr>
        <w:spacing w:after="64" w:line="248" w:lineRule="auto"/>
        <w:keepNext/>
        <w:widowControl/>
      </w:pPr>
      <w:r>
        <w:rPr>
          <w:rFonts w:ascii="Aptos" w:hAnsi="Aptos" w:eastAsia="Aptos" w:cs="Aptos"/>
          <w:color w:val="202020"/>
          <w:sz w:val="19"/>
        </w:rPr>
        <w:t>Independent truckers and small family-owned carriers should not bear the same road-use burden as national fleets with thousands of vehicles. Small-carrier relief is permanent, transparent, and structured so it does not discriminate based on where a company is headquartered.</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Qualifying fleets of 1 to 6 power units receive a 25 percent discount from the applicable non-Turnpike road-use rate. Under the working 8/12/15-cent model, the discounted rates are approximately 6, 9, and 11.25 cents per mile.</w:t>
      </w:r>
    </w:p>
    <w:p>
      <w:pPr>
        <w:pStyle w:val="ListBullet"/>
        <w:spacing w:after="45" w:line="247" w:lineRule="auto"/>
        <w:keepLines/>
        <w:widowControl/>
      </w:pPr>
      <w:r>
        <w:rPr>
          <w:rFonts w:ascii="Aptos" w:hAnsi="Aptos" w:eastAsia="Aptos" w:cs="Aptos"/>
          <w:color w:val="202020"/>
          <w:sz w:val="18"/>
        </w:rPr>
        <w:t>Qualifying fleets of 7 to 20 power units receive a 20 percent discount. Under the working model, the discounted rates are approximately 6.4, 9.6, and 12 cents per mile.</w:t>
      </w:r>
    </w:p>
    <w:p>
      <w:pPr>
        <w:pStyle w:val="ListBullet"/>
        <w:spacing w:after="45" w:line="247" w:lineRule="auto"/>
        <w:keepLines/>
        <w:widowControl/>
      </w:pPr>
      <w:r>
        <w:rPr>
          <w:rFonts w:ascii="Aptos" w:hAnsi="Aptos" w:eastAsia="Aptos" w:cs="Aptos"/>
          <w:color w:val="202020"/>
          <w:sz w:val="18"/>
        </w:rPr>
        <w:t>Fleets of 21 or more power units generally pay the standard base rate unless another lawful classification applies.</w:t>
      </w:r>
    </w:p>
    <w:p>
      <w:pPr>
        <w:pStyle w:val="ListBullet"/>
        <w:spacing w:after="45" w:line="247" w:lineRule="auto"/>
        <w:keepLines/>
        <w:widowControl/>
      </w:pPr>
      <w:r>
        <w:rPr>
          <w:rFonts w:ascii="Aptos" w:hAnsi="Aptos" w:eastAsia="Aptos" w:cs="Aptos"/>
          <w:color w:val="202020"/>
          <w:sz w:val="18"/>
        </w:rPr>
        <w:t>The discount applies equally to qualifying Pennsylvania and out-of-state small carriers using Pennsylvania roads so the road rate is based on use and fleet size rather than residency.</w:t>
      </w:r>
    </w:p>
    <w:p>
      <w:pPr>
        <w:pStyle w:val="ListBullet"/>
        <w:spacing w:after="45" w:line="247" w:lineRule="auto"/>
        <w:keepLines/>
        <w:widowControl/>
      </w:pPr>
      <w:r>
        <w:rPr>
          <w:rFonts w:ascii="Aptos" w:hAnsi="Aptos" w:eastAsia="Aptos" w:cs="Aptos"/>
          <w:color w:val="202020"/>
          <w:sz w:val="18"/>
        </w:rPr>
        <w:t>Carriers under common ownership, control, management, or coordinated operation may be aggregated to prevent a large fleet from creating shell entities solely to qualify for small-carrier discounts.</w:t>
      </w:r>
    </w:p>
    <w:p>
      <w:pPr>
        <w:pStyle w:val="ListBullet"/>
        <w:spacing w:after="45" w:line="247" w:lineRule="auto"/>
        <w:keepLines/>
        <w:widowControl/>
      </w:pPr>
      <w:r>
        <w:rPr>
          <w:rFonts w:ascii="Aptos" w:hAnsi="Aptos" w:eastAsia="Aptos" w:cs="Aptos"/>
          <w:color w:val="202020"/>
          <w:sz w:val="18"/>
        </w:rPr>
        <w:t>Pennsylvania may separately review registration, permit, administrative, tax, insurance-related, terminal-development, or other state-imposed business costs that affect Pennsylvania-based carriers, but those issues are not used to impose a discriminatory road-use rate on interstate competitors.</w:t>
      </w:r>
    </w:p>
    <w:p>
      <w:pPr>
        <w:pStyle w:val="ListBullet"/>
        <w:spacing w:after="45" w:line="247" w:lineRule="auto"/>
        <w:keepLines/>
        <w:widowControl/>
      </w:pPr>
      <w:r>
        <w:rPr>
          <w:rFonts w:ascii="Aptos" w:hAnsi="Aptos" w:eastAsia="Aptos" w:cs="Aptos"/>
          <w:color w:val="202020"/>
          <w:sz w:val="18"/>
        </w:rPr>
        <w:t>The small-carrier structure is reviewed periodically for revenue neutrality, competitive fairness, fraud, shell-company abuse, and actual small-business impact.</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6 - Commercial Turnpike Toll Reform, Mileage Exclusion, and Privacy</w:t>
      </w:r>
    </w:p>
    <w:p>
      <w:pPr>
        <w:spacing w:after="64" w:line="248" w:lineRule="auto"/>
        <w:keepNext/>
        <w:widowControl/>
      </w:pPr>
      <w:r>
        <w:rPr>
          <w:rFonts w:ascii="Aptos" w:hAnsi="Aptos" w:eastAsia="Aptos" w:cs="Aptos"/>
          <w:color w:val="202020"/>
          <w:sz w:val="19"/>
        </w:rPr>
        <w:t>Commercial Turnpike reform is both a cost policy and a traffic-management policy. Lower rates are intended to attract heavy through-traffic to a roadway designed for it while ensuring carriers are never charged both a Turnpike toll and a road-use charge for the same mile.</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The working commercial Turnpike model reduces commercial toll rates by approximately 10 percent, with the final schedule subject to debt, traffic, infrastructure, and fiscal analysis.</w:t>
      </w:r>
    </w:p>
    <w:p>
      <w:pPr>
        <w:pStyle w:val="ListBullet"/>
        <w:spacing w:after="45" w:line="247" w:lineRule="auto"/>
        <w:keepLines/>
        <w:widowControl/>
      </w:pPr>
      <w:r>
        <w:rPr>
          <w:rFonts w:ascii="Aptos" w:hAnsi="Aptos" w:eastAsia="Aptos" w:cs="Aptos"/>
          <w:color w:val="202020"/>
          <w:sz w:val="18"/>
        </w:rPr>
        <w:t>Taxable road-use mileage equals total reported Pennsylvania commercial mileage minus verified Pennsylvania Turnpike mileage. Turnpike miles are excluded because the carrier already paid a commercial toll for those miles.</w:t>
      </w:r>
    </w:p>
    <w:p>
      <w:pPr>
        <w:pStyle w:val="ListBullet"/>
        <w:spacing w:after="45" w:line="247" w:lineRule="auto"/>
        <w:keepLines/>
        <w:widowControl/>
      </w:pPr>
      <w:r>
        <w:rPr>
          <w:rFonts w:ascii="Aptos" w:hAnsi="Aptos" w:eastAsia="Aptos" w:cs="Aptos"/>
          <w:color w:val="202020"/>
          <w:sz w:val="18"/>
        </w:rPr>
        <w:t>Mileage verification may use IFTA-style reporting, carrier mileage records, odometer records, dispatch records, electronic trip records, E-ZPass transactions, Toll By Plate records, Turnpike transactions, voluntary telematics, and other auditable commercial records.</w:t>
      </w:r>
    </w:p>
    <w:p>
      <w:pPr>
        <w:pStyle w:val="ListBullet"/>
        <w:spacing w:after="45" w:line="247" w:lineRule="auto"/>
        <w:keepLines/>
        <w:widowControl/>
      </w:pPr>
      <w:r>
        <w:rPr>
          <w:rFonts w:ascii="Aptos" w:hAnsi="Aptos" w:eastAsia="Aptos" w:cs="Aptos"/>
          <w:color w:val="202020"/>
          <w:sz w:val="18"/>
        </w:rPr>
        <w:t>Pennsylvania shall not require continuous state GPS tracking solely to collect the commercial road-use charge. Approved electronic fleet-management systems may be used voluntarily to automate reporting.</w:t>
      </w:r>
    </w:p>
    <w:p>
      <w:pPr>
        <w:pStyle w:val="ListBullet"/>
        <w:spacing w:after="45" w:line="247" w:lineRule="auto"/>
        <w:keepLines/>
        <w:widowControl/>
      </w:pPr>
      <w:r>
        <w:rPr>
          <w:rFonts w:ascii="Aptos" w:hAnsi="Aptos" w:eastAsia="Aptos" w:cs="Aptos"/>
          <w:color w:val="202020"/>
          <w:sz w:val="18"/>
        </w:rPr>
        <w:t>Audits focus on reasonable samples, material reconciliation failures, repeated discrepancies, suspected fraud, or other objective risk factors rather than universal continuous surveillance.</w:t>
      </w:r>
    </w:p>
    <w:p>
      <w:pPr>
        <w:pStyle w:val="ListBullet"/>
        <w:spacing w:after="45" w:line="247" w:lineRule="auto"/>
        <w:keepLines/>
        <w:widowControl/>
      </w:pPr>
      <w:r>
        <w:rPr>
          <w:rFonts w:ascii="Aptos" w:hAnsi="Aptos" w:eastAsia="Aptos" w:cs="Aptos"/>
          <w:color w:val="202020"/>
          <w:sz w:val="18"/>
        </w:rPr>
        <w:t>Commercial toll revenue remains dedicated to roadway operations, maintenance, infrastructure, debt service, and debt reduction under the restructured transportation system.</w:t>
      </w:r>
    </w:p>
    <w:p>
      <w:pPr>
        <w:pStyle w:val="ListBullet"/>
        <w:spacing w:after="45" w:line="247" w:lineRule="auto"/>
        <w:keepLines/>
        <w:widowControl/>
      </w:pPr>
      <w:r>
        <w:rPr>
          <w:rFonts w:ascii="Aptos" w:hAnsi="Aptos" w:eastAsia="Aptos" w:cs="Aptos"/>
          <w:color w:val="202020"/>
          <w:sz w:val="18"/>
        </w:rPr>
        <w:t>Lower commercial toll pricing is evaluated for its effect on carrier cost, Turnpike usage, shipping cost, local-road diversion, congestion, and overall commercial revenue.</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7 - Freight Routing, Local-Road Protection, and Legitimate Commercial Access</w:t>
      </w:r>
    </w:p>
    <w:p>
      <w:pPr>
        <w:spacing w:after="64" w:line="248" w:lineRule="auto"/>
        <w:keepNext/>
        <w:widowControl/>
      </w:pPr>
      <w:r>
        <w:rPr>
          <w:rFonts w:ascii="Aptos" w:hAnsi="Aptos" w:eastAsia="Aptos" w:cs="Aptos"/>
          <w:color w:val="202020"/>
          <w:sz w:val="19"/>
        </w:rPr>
        <w:t>Pennsylvania should make appropriate commercial corridors affordable enough that heavy through-trucks have less reason to cut through borough streets and local roads solely to avoid tolls. Enforcement is directed at repeated through-routing abuse, not legitimate commerce.</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Repeated toll-avoidance routing may be subject to lawful additional charges or penalties where a reasonable Turnpike or designated commercial route exists, the vehicle has no legitimate local destination, the local route is used primarily to avoid the applicable commercial charge, restrictions are properly posted, and enforcement is authorized by law.</w:t>
      </w:r>
    </w:p>
    <w:p>
      <w:pPr>
        <w:pStyle w:val="ListBullet"/>
        <w:spacing w:after="45" w:line="247" w:lineRule="auto"/>
        <w:keepLines/>
        <w:widowControl/>
      </w:pPr>
      <w:r>
        <w:rPr>
          <w:rFonts w:ascii="Aptos" w:hAnsi="Aptos" w:eastAsia="Aptos" w:cs="Aptos"/>
          <w:color w:val="202020"/>
          <w:sz w:val="18"/>
        </w:rPr>
        <w:t>Legitimate local access remains protected for deliveries, pickups, farms, warehouses, terminals, distribution centers, construction sites, industrial facilities, repair facilities, fuel stops, restaurants, hotels, customer locations, local businesses, emergency detours, highway closures, and legally required routes.</w:t>
      </w:r>
    </w:p>
    <w:p>
      <w:pPr>
        <w:pStyle w:val="ListBullet"/>
        <w:spacing w:after="45" w:line="247" w:lineRule="auto"/>
        <w:keepLines/>
        <w:widowControl/>
      </w:pPr>
      <w:r>
        <w:rPr>
          <w:rFonts w:ascii="Aptos" w:hAnsi="Aptos" w:eastAsia="Aptos" w:cs="Aptos"/>
          <w:color w:val="202020"/>
          <w:sz w:val="18"/>
        </w:rPr>
        <w:t>Freight-routing policy prioritizes engineering, pricing, signage, designated truck routes, bridge limits, safety, and local-road protection before punitive enforcement.</w:t>
      </w:r>
    </w:p>
    <w:p>
      <w:pPr>
        <w:pStyle w:val="ListBullet"/>
        <w:spacing w:after="45" w:line="247" w:lineRule="auto"/>
        <w:keepLines/>
        <w:widowControl/>
      </w:pPr>
      <w:r>
        <w:rPr>
          <w:rFonts w:ascii="Aptos" w:hAnsi="Aptos" w:eastAsia="Aptos" w:cs="Aptos"/>
          <w:color w:val="202020"/>
          <w:sz w:val="18"/>
        </w:rPr>
        <w:t>Local governments may document recurring state-created freight diversion and request enforcement, engineering review, road protection, reimbursement, or corrective routing measures where authorized.</w:t>
      </w:r>
    </w:p>
    <w:p>
      <w:pPr>
        <w:pStyle w:val="ListBullet"/>
        <w:spacing w:after="45" w:line="247" w:lineRule="auto"/>
        <w:keepLines/>
        <w:widowControl/>
      </w:pPr>
      <w:r>
        <w:rPr>
          <w:rFonts w:ascii="Aptos" w:hAnsi="Aptos" w:eastAsia="Aptos" w:cs="Aptos"/>
          <w:color w:val="202020"/>
          <w:sz w:val="18"/>
        </w:rPr>
        <w:t>No toll-avoidance rule may be used to block lawful commerce, discriminate against interstate carriers, interfere with emergency movement, or penalize a carrier for serving a bona fide local destination.</w:t>
      </w:r>
    </w:p>
    <w:p>
      <w:pPr>
        <w:pStyle w:val="ListBullet"/>
        <w:spacing w:after="45" w:line="247" w:lineRule="auto"/>
        <w:keepLines/>
        <w:widowControl/>
      </w:pPr>
      <w:r>
        <w:rPr>
          <w:rFonts w:ascii="Aptos" w:hAnsi="Aptos" w:eastAsia="Aptos" w:cs="Aptos"/>
          <w:color w:val="202020"/>
          <w:sz w:val="18"/>
        </w:rPr>
        <w:t>Truck-route restrictions and penalties must provide adequate notice, objective standards, due process, appeal rights, and reasonable exceptions for closures, weather, emergencies, construction, and necessary local access.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8 - Fix Roads First, Repair Backlog, Expansion Limits, and Toll-Facility Review</w:t>
      </w:r>
    </w:p>
    <w:p>
      <w:pPr>
        <w:spacing w:after="64" w:line="248" w:lineRule="auto"/>
        <w:keepNext/>
        <w:widowControl/>
      </w:pPr>
      <w:r>
        <w:rPr>
          <w:rFonts w:ascii="Aptos" w:hAnsi="Aptos" w:eastAsia="Aptos" w:cs="Aptos"/>
          <w:color w:val="202020"/>
          <w:sz w:val="19"/>
        </w:rPr>
        <w:t>Pennsylvania should maintain the infrastructure taxpayers already paid for before continually announcing lower-priority expansions. Repair, preservation, safety, and backlog reduction are the default priorities.</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Fix Roads First prioritizes structurally deficient bridges, dangerous roads, pavement deterioration, drainage, retaining walls, bridge rehabilitation, high-crash locations, safety improvements, maintenance, and preservation of existing infrastructure.</w:t>
      </w:r>
    </w:p>
    <w:p>
      <w:pPr>
        <w:pStyle w:val="ListBullet"/>
        <w:spacing w:after="45" w:line="247" w:lineRule="auto"/>
        <w:keepLines/>
        <w:widowControl/>
      </w:pPr>
      <w:r>
        <w:rPr>
          <w:rFonts w:ascii="Aptos" w:hAnsi="Aptos" w:eastAsia="Aptos" w:cs="Aptos"/>
          <w:color w:val="202020"/>
          <w:sz w:val="18"/>
        </w:rPr>
        <w:t>Broad lower-priority expansion is paused upon implementation until the statewide transportation audit is complete and the statewide repair backlog has been reduced by at least 50 percent.</w:t>
      </w:r>
    </w:p>
    <w:p>
      <w:pPr>
        <w:pStyle w:val="ListBullet"/>
        <w:spacing w:after="45" w:line="247" w:lineRule="auto"/>
        <w:keepLines/>
        <w:widowControl/>
      </w:pPr>
      <w:r>
        <w:rPr>
          <w:rFonts w:ascii="Aptos" w:hAnsi="Aptos" w:eastAsia="Aptos" w:cs="Aptos"/>
          <w:color w:val="202020"/>
          <w:sz w:val="18"/>
        </w:rPr>
        <w:t>Safety-critical expansion may proceed when independently certified as necessary for immediate public safety. Necessary capacity projects may proceed when supported by documented safety, congestion, freight, evacuation, or system-continuity need and when they do not undermine backlog targets.</w:t>
      </w:r>
    </w:p>
    <w:p>
      <w:pPr>
        <w:pStyle w:val="ListBullet"/>
        <w:spacing w:after="45" w:line="247" w:lineRule="auto"/>
        <w:keepLines/>
        <w:widowControl/>
      </w:pPr>
      <w:r>
        <w:rPr>
          <w:rFonts w:ascii="Aptos" w:hAnsi="Aptos" w:eastAsia="Aptos" w:cs="Aptos"/>
          <w:color w:val="202020"/>
          <w:sz w:val="18"/>
        </w:rPr>
        <w:t>Backlog reduction is measured by severity and safety first and dollar value second so government cannot satisfy the target by completing only inexpensive low-risk work while dangerous infrastructure remains unresolved.</w:t>
      </w:r>
    </w:p>
    <w:p>
      <w:pPr>
        <w:pStyle w:val="ListBullet"/>
        <w:spacing w:after="45" w:line="247" w:lineRule="auto"/>
        <w:keepLines/>
        <w:widowControl/>
      </w:pPr>
      <w:r>
        <w:rPr>
          <w:rFonts w:ascii="Aptos" w:hAnsi="Aptos" w:eastAsia="Aptos" w:cs="Aptos"/>
          <w:color w:val="202020"/>
          <w:sz w:val="18"/>
        </w:rPr>
        <w:t>A statewide toll-facility review examines whether lightly used toll facilities should remain in the toll-road system. A facility may be recommended for removal or restructuring if it operates at a deficit for two consecutive years or remains below 50 percent of projected traffic capacity, subject to debt, safety, network, and legal review.</w:t>
      </w:r>
    </w:p>
    <w:p>
      <w:pPr>
        <w:pStyle w:val="ListBullet"/>
        <w:spacing w:after="45" w:line="247" w:lineRule="auto"/>
        <w:keepLines/>
        <w:widowControl/>
      </w:pPr>
      <w:r>
        <w:rPr>
          <w:rFonts w:ascii="Aptos" w:hAnsi="Aptos" w:eastAsia="Aptos" w:cs="Aptos"/>
          <w:color w:val="202020"/>
          <w:sz w:val="18"/>
        </w:rPr>
        <w:t>Deferred maintenance may not be used to manufacture a future fiscal crisis or justify unnecessary tax, toll, or fee increases.</w:t>
      </w:r>
    </w:p>
    <w:p>
      <w:pPr>
        <w:pStyle w:val="ListBullet"/>
        <w:spacing w:after="45" w:line="247" w:lineRule="auto"/>
        <w:keepLines/>
        <w:widowControl/>
      </w:pPr>
      <w:r>
        <w:rPr>
          <w:rFonts w:ascii="Aptos" w:hAnsi="Aptos" w:eastAsia="Aptos" w:cs="Aptos"/>
          <w:color w:val="202020"/>
          <w:sz w:val="18"/>
        </w:rPr>
        <w:t>PennDOT publishes a ranked repair-backlog inventory with project condition, safety rating, estimated cost, schedule, funding source, and completion status.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9 - Statewide Transportation Audit, Procurement, Contractors, and Project Accountability</w:t>
      </w:r>
    </w:p>
    <w:p>
      <w:pPr>
        <w:spacing w:after="64" w:line="248" w:lineRule="auto"/>
        <w:keepNext/>
        <w:widowControl/>
      </w:pPr>
      <w:r>
        <w:rPr>
          <w:rFonts w:ascii="Aptos" w:hAnsi="Aptos" w:eastAsia="Aptos" w:cs="Aptos"/>
          <w:color w:val="202020"/>
          <w:sz w:val="19"/>
        </w:rPr>
        <w:t>Pennsylvania should know where transportation money is going before asking taxpayers for more. Audits, procurement reform, contractor accountability, and project management are central components of the funding plan.</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A comprehensive statewide transportation audit begins within 90 days of enactment and uses independent state auditing, outside engineering review, and independent civilian review or public oversight as appropriate.</w:t>
      </w:r>
    </w:p>
    <w:p>
      <w:pPr>
        <w:pStyle w:val="ListBullet"/>
        <w:spacing w:after="45" w:line="247" w:lineRule="auto"/>
        <w:keepLines/>
        <w:widowControl/>
      </w:pPr>
      <w:r>
        <w:rPr>
          <w:rFonts w:ascii="Aptos" w:hAnsi="Aptos" w:eastAsia="Aptos" w:cs="Aptos"/>
          <w:color w:val="202020"/>
          <w:sz w:val="18"/>
        </w:rPr>
        <w:t>The audit examines PennDOT, Turnpike spending, the Motor License Fund, federal funds, fuel-tax revenue, toll revenue, road-use revenue, Liquid Fuels distributions, bond proceeds, debt, major projects, consulting, administrative spending, stalled projects, underused assets, repair needs, expansion commitments, and efficiency gaps.</w:t>
      </w:r>
    </w:p>
    <w:p>
      <w:pPr>
        <w:pStyle w:val="ListBullet"/>
        <w:spacing w:after="45" w:line="247" w:lineRule="auto"/>
        <w:keepLines/>
        <w:widowControl/>
      </w:pPr>
      <w:r>
        <w:rPr>
          <w:rFonts w:ascii="Aptos" w:hAnsi="Aptos" w:eastAsia="Aptos" w:cs="Aptos"/>
          <w:color w:val="202020"/>
          <w:sz w:val="18"/>
        </w:rPr>
        <w:t>Major contracts disclose original bid, current cost, contractor, subcontractors where required, completion dates, delays, change orders, claims, safety issues, inspection results, and final performance.</w:t>
      </w:r>
    </w:p>
    <w:p>
      <w:pPr>
        <w:pStyle w:val="ListBullet"/>
        <w:spacing w:after="45" w:line="247" w:lineRule="auto"/>
        <w:keepLines/>
        <w:widowControl/>
      </w:pPr>
      <w:r>
        <w:rPr>
          <w:rFonts w:ascii="Aptos" w:hAnsi="Aptos" w:eastAsia="Aptos" w:cs="Aptos"/>
          <w:color w:val="202020"/>
          <w:sz w:val="18"/>
        </w:rPr>
        <w:t>Repeated or material project failures involving cost overruns, missed deadlines, defective work, contract violations, procurement failures, inaccurate estimates, unnecessary change orders, or safety failures may trigger independent audit, repayment, clawbacks, penalties, debarment where lawful, leadership review, public hearings, or project-management changes.</w:t>
      </w:r>
    </w:p>
    <w:p>
      <w:pPr>
        <w:pStyle w:val="ListBullet"/>
        <w:spacing w:after="45" w:line="247" w:lineRule="auto"/>
        <w:keepLines/>
        <w:widowControl/>
      </w:pPr>
      <w:r>
        <w:rPr>
          <w:rFonts w:ascii="Aptos" w:hAnsi="Aptos" w:eastAsia="Aptos" w:cs="Aptos"/>
          <w:color w:val="202020"/>
          <w:sz w:val="18"/>
        </w:rPr>
        <w:t>Competitive procurement, cooperative purchasing, standardized specifications, life-cycle cost analysis, conflict-of-interest rules, and limits on unjustified no-bid contracting are used to reduce cost and favoritism.</w:t>
      </w:r>
    </w:p>
    <w:p>
      <w:pPr>
        <w:pStyle w:val="ListBullet"/>
        <w:spacing w:after="45" w:line="247" w:lineRule="auto"/>
        <w:keepLines/>
        <w:widowControl/>
      </w:pPr>
      <w:r>
        <w:rPr>
          <w:rFonts w:ascii="Aptos" w:hAnsi="Aptos" w:eastAsia="Aptos" w:cs="Aptos"/>
          <w:color w:val="202020"/>
          <w:sz w:val="18"/>
        </w:rPr>
        <w:t>Audit recoveries, contract damages, clawbacks, and identified recurring savings remain within the transportation funding structure unless lawfully assigned otherwise and publicly accounted for.</w:t>
      </w:r>
    </w:p>
    <w:p>
      <w:pPr>
        <w:pStyle w:val="ListBullet"/>
        <w:spacing w:after="45" w:line="247" w:lineRule="auto"/>
        <w:keepLines/>
        <w:widowControl/>
      </w:pPr>
      <w:r>
        <w:rPr>
          <w:rFonts w:ascii="Aptos" w:hAnsi="Aptos" w:eastAsia="Aptos" w:cs="Aptos"/>
          <w:color w:val="202020"/>
          <w:sz w:val="18"/>
        </w:rPr>
        <w:t>Whistleblowers, inspectors, engineers, employees, vendors, contractors, and members of the public receive lawful reporting channels and anti-retaliation protections for transportation fraud, safety, and procurement concerns.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10 - Turnpike Debt, Legacy Obligations, Commission Dissolution, and PennDOT Integration</w:t>
      </w:r>
    </w:p>
    <w:p>
      <w:pPr>
        <w:spacing w:after="64" w:line="248" w:lineRule="auto"/>
        <w:keepNext/>
        <w:widowControl/>
      </w:pPr>
      <w:r>
        <w:rPr>
          <w:rFonts w:ascii="Aptos" w:hAnsi="Aptos" w:eastAsia="Aptos" w:cs="Aptos"/>
          <w:color w:val="202020"/>
          <w:sz w:val="19"/>
        </w:rPr>
        <w:t>Passenger toll elimination cannot be responsible without confronting legacy Turnpike debt and state-imposed obligations. The roadway remains; duplicate statewide bureaucracy does not.</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The Commonwealth conducts a full review of outstanding Turnpike debt, interest rates, maturity schedules, refinancing opportunities, legacy state-imposed payment obligations, annual debt service, commercial toll revenue, and replacement transportation revenue.</w:t>
      </w:r>
    </w:p>
    <w:p>
      <w:pPr>
        <w:pStyle w:val="ListBullet"/>
        <w:spacing w:after="45" w:line="247" w:lineRule="auto"/>
        <w:keepLines/>
        <w:widowControl/>
      </w:pPr>
      <w:r>
        <w:rPr>
          <w:rFonts w:ascii="Aptos" w:hAnsi="Aptos" w:eastAsia="Aptos" w:cs="Aptos"/>
          <w:color w:val="202020"/>
          <w:sz w:val="18"/>
        </w:rPr>
        <w:t>Legacy payment burdens imposed on the Turnpike for broader state purposes are identified and separated from the actual cost of operating, maintaining, and improving the roadway. The Commonwealth assumes or restructures those obligations where lawfully required to complete the reform.</w:t>
      </w:r>
    </w:p>
    <w:p>
      <w:pPr>
        <w:pStyle w:val="ListBullet"/>
        <w:spacing w:after="45" w:line="247" w:lineRule="auto"/>
        <w:keepLines/>
        <w:widowControl/>
      </w:pPr>
      <w:r>
        <w:rPr>
          <w:rFonts w:ascii="Aptos" w:hAnsi="Aptos" w:eastAsia="Aptos" w:cs="Aptos"/>
          <w:color w:val="202020"/>
          <w:sz w:val="18"/>
        </w:rPr>
        <w:t>Remaining Turnpike debt is refinanced, restructured, defeased, accelerated, or otherwise managed where independent analysis shows a lawful long-term taxpayer benefit.</w:t>
      </w:r>
    </w:p>
    <w:p>
      <w:pPr>
        <w:pStyle w:val="ListBullet"/>
        <w:spacing w:after="45" w:line="247" w:lineRule="auto"/>
        <w:keepLines/>
        <w:widowControl/>
      </w:pPr>
      <w:r>
        <w:rPr>
          <w:rFonts w:ascii="Aptos" w:hAnsi="Aptos" w:eastAsia="Aptos" w:cs="Aptos"/>
          <w:color w:val="202020"/>
          <w:sz w:val="18"/>
        </w:rPr>
        <w:t>The Pennsylvania Turnpike Commission is dissolved as a separate statewide transportation agency through an orderly statutory transition.</w:t>
      </w:r>
    </w:p>
    <w:p>
      <w:pPr>
        <w:pStyle w:val="ListBullet"/>
        <w:spacing w:after="45" w:line="247" w:lineRule="auto"/>
        <w:keepLines/>
        <w:widowControl/>
      </w:pPr>
      <w:r>
        <w:rPr>
          <w:rFonts w:ascii="Aptos" w:hAnsi="Aptos" w:eastAsia="Aptos" w:cs="Aptos"/>
          <w:color w:val="202020"/>
          <w:sz w:val="18"/>
        </w:rPr>
        <w:t>Appropriate operations, employees, maintenance responsibilities, assets, contracts, liabilities, debt-management functions, data, systems, and institutional knowledge transfer to PennDOT or another lawful successor structure.</w:t>
      </w:r>
    </w:p>
    <w:p>
      <w:pPr>
        <w:pStyle w:val="ListBullet"/>
        <w:spacing w:after="45" w:line="247" w:lineRule="auto"/>
        <w:keepLines/>
        <w:widowControl/>
      </w:pPr>
      <w:r>
        <w:rPr>
          <w:rFonts w:ascii="Aptos" w:hAnsi="Aptos" w:eastAsia="Aptos" w:cs="Aptos"/>
          <w:color w:val="202020"/>
          <w:sz w:val="18"/>
        </w:rPr>
        <w:t>The transition protects roadway safety, uninterrupted operations, lawful contracts, lawful debt, appropriate employees, collective bargaining rights where applicable, tolling technology, customer accounts, maintenance schedules, and emergency response.</w:t>
      </w:r>
    </w:p>
    <w:p>
      <w:pPr>
        <w:pStyle w:val="ListBullet"/>
        <w:spacing w:after="45" w:line="247" w:lineRule="auto"/>
        <w:keepLines/>
        <w:widowControl/>
      </w:pPr>
      <w:r>
        <w:rPr>
          <w:rFonts w:ascii="Aptos" w:hAnsi="Aptos" w:eastAsia="Aptos" w:cs="Aptos"/>
          <w:color w:val="202020"/>
          <w:sz w:val="18"/>
        </w:rPr>
        <w:t>Procurement, planning, engineering, reporting, administration, and statewide highway functions are consolidated where doing so reduces duplication without degrading service or accountability.</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11 - Municipal Liquid Fuels, Local Roads, Transit, and Essential Transportation Services</w:t>
      </w:r>
    </w:p>
    <w:p>
      <w:pPr>
        <w:spacing w:after="64" w:line="248" w:lineRule="auto"/>
        <w:keepNext/>
        <w:widowControl/>
      </w:pPr>
      <w:r>
        <w:rPr>
          <w:rFonts w:ascii="Aptos" w:hAnsi="Aptos" w:eastAsia="Aptos" w:cs="Aptos"/>
          <w:color w:val="202020"/>
          <w:sz w:val="19"/>
        </w:rPr>
        <w:t>Statewide reform cannot solve Harrisburg's transportation problem by creating a new local property-tax problem. Municipal road funding, essential transit, and mobility services remain protected through the transition.</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Municipal Liquid Fuels funding remains protected at current lawful levels during the statewide audit and transition unless a change is accompanied by equivalent or greater dedicated local transportation support.</w:t>
      </w:r>
    </w:p>
    <w:p>
      <w:pPr>
        <w:pStyle w:val="ListBullet"/>
        <w:spacing w:after="45" w:line="247" w:lineRule="auto"/>
        <w:keepLines/>
        <w:widowControl/>
      </w:pPr>
      <w:r>
        <w:rPr>
          <w:rFonts w:ascii="Aptos" w:hAnsi="Aptos" w:eastAsia="Aptos" w:cs="Aptos"/>
          <w:color w:val="202020"/>
          <w:sz w:val="18"/>
        </w:rPr>
        <w:t>After the audit, distribution formulas may be reviewed using road mileage and population as core factors together with infrastructure condition, traffic and usage, local need, fiscal capacity, freight burden, bridge responsibility, winter maintenance, and documented safety risk.</w:t>
      </w:r>
    </w:p>
    <w:p>
      <w:pPr>
        <w:pStyle w:val="ListBullet"/>
        <w:spacing w:after="45" w:line="247" w:lineRule="auto"/>
        <w:keepLines/>
        <w:widowControl/>
      </w:pPr>
      <w:r>
        <w:rPr>
          <w:rFonts w:ascii="Aptos" w:hAnsi="Aptos" w:eastAsia="Aptos" w:cs="Aptos"/>
          <w:color w:val="202020"/>
          <w:sz w:val="18"/>
        </w:rPr>
        <w:t>Local transportation aid remains dedicated to roads, bridges, drainage, snow removal, maintenance, traffic safety, and other lawful transportation purposes and is subject to audit and reporting.</w:t>
      </w:r>
    </w:p>
    <w:p>
      <w:pPr>
        <w:pStyle w:val="ListBullet"/>
        <w:spacing w:after="45" w:line="247" w:lineRule="auto"/>
        <w:keepLines/>
        <w:widowControl/>
      </w:pPr>
      <w:r>
        <w:rPr>
          <w:rFonts w:ascii="Aptos" w:hAnsi="Aptos" w:eastAsia="Aptos" w:cs="Aptos"/>
          <w:color w:val="202020"/>
          <w:sz w:val="18"/>
        </w:rPr>
        <w:t>The reform protects legitimate public transit, rural transportation, paratransit, senior transportation, disability transportation, municipal roads, freight corridors, and appropriate multimodal infrastructure.</w:t>
      </w:r>
    </w:p>
    <w:p>
      <w:pPr>
        <w:pStyle w:val="ListBullet"/>
        <w:spacing w:after="45" w:line="247" w:lineRule="auto"/>
        <w:keepLines/>
        <w:widowControl/>
      </w:pPr>
      <w:r>
        <w:rPr>
          <w:rFonts w:ascii="Aptos" w:hAnsi="Aptos" w:eastAsia="Aptos" w:cs="Aptos"/>
          <w:color w:val="202020"/>
          <w:sz w:val="18"/>
        </w:rPr>
        <w:t>Public transportation recipients remain subject to performance review, procurement standards, route and ridership analysis, fiscal accountability, service-quality reporting, and corrective action. Protecting essential service does not mean protecting waste.</w:t>
      </w:r>
    </w:p>
    <w:p>
      <w:pPr>
        <w:pStyle w:val="ListBullet"/>
        <w:spacing w:after="45" w:line="247" w:lineRule="auto"/>
        <w:keepLines/>
        <w:widowControl/>
      </w:pPr>
      <w:r>
        <w:rPr>
          <w:rFonts w:ascii="Aptos" w:hAnsi="Aptos" w:eastAsia="Aptos" w:cs="Aptos"/>
          <w:color w:val="202020"/>
          <w:sz w:val="18"/>
        </w:rPr>
        <w:t>State-created mandates or route decisions that materially increase municipal road cost require fiscal review and, where appropriate, state funding, mitigation, or corrective planning rather than automatic transfer to local property taxpayers.</w:t>
      </w:r>
    </w:p>
    <w:p>
      <w:pPr>
        <w:pStyle w:val="ListBullet"/>
        <w:spacing w:after="45" w:line="247" w:lineRule="auto"/>
        <w:keepLines/>
        <w:widowControl/>
      </w:pPr>
      <w:r>
        <w:rPr>
          <w:rFonts w:ascii="Aptos" w:hAnsi="Aptos" w:eastAsia="Aptos" w:cs="Aptos"/>
          <w:color w:val="202020"/>
          <w:sz w:val="18"/>
        </w:rPr>
        <w:t>Distressed municipalities may receive targeted transportation transition aid tied to audits, road-condition plans, procurement compliance, shared-service review, debt review, and measurable recovery goals.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12 - Vehicle Inspection, Emissions, Registration, and Roadworthiness Modernization</w:t>
      </w:r>
    </w:p>
    <w:p>
      <w:pPr>
        <w:spacing w:after="64" w:line="248" w:lineRule="auto"/>
        <w:keepNext/>
        <w:widowControl/>
      </w:pPr>
      <w:r>
        <w:rPr>
          <w:rFonts w:ascii="Aptos" w:hAnsi="Aptos" w:eastAsia="Aptos" w:cs="Aptos"/>
          <w:color w:val="202020"/>
          <w:sz w:val="19"/>
        </w:rPr>
        <w:t>Vehicle inspection and registration policy should protect road safety without imposing unnecessary annual cost and inconvenience on low-risk passenger vehicles. The system should focus more heavily on vehicles and conduct that present genuine safety risk.</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Pennsylvania moves toward biennial safety inspections for most qualifying non-commercial passenger vehicles, subject to implementation study, federal compliance, and a safety-data review.</w:t>
      </w:r>
    </w:p>
    <w:p>
      <w:pPr>
        <w:pStyle w:val="ListBullet"/>
        <w:spacing w:after="45" w:line="247" w:lineRule="auto"/>
        <w:keepLines/>
        <w:widowControl/>
      </w:pPr>
      <w:r>
        <w:rPr>
          <w:rFonts w:ascii="Aptos" w:hAnsi="Aptos" w:eastAsia="Aptos" w:cs="Aptos"/>
          <w:color w:val="202020"/>
          <w:sz w:val="18"/>
        </w:rPr>
        <w:t>Annual inspections remain for high-risk or regulated categories such as commercial vehicles, school buses, vehicles subject to stricter federal rules, and other classes shown by safety data to require annual review.</w:t>
      </w:r>
    </w:p>
    <w:p>
      <w:pPr>
        <w:pStyle w:val="ListBullet"/>
        <w:spacing w:after="45" w:line="247" w:lineRule="auto"/>
        <w:keepLines/>
        <w:widowControl/>
      </w:pPr>
      <w:r>
        <w:rPr>
          <w:rFonts w:ascii="Aptos" w:hAnsi="Aptos" w:eastAsia="Aptos" w:cs="Aptos"/>
          <w:color w:val="202020"/>
          <w:sz w:val="18"/>
        </w:rPr>
        <w:t>Roadside enforcement supplements rather than replaces inspections. A visibly unsafe vehicle or a vehicle that fails an objective roadside safety test may be cited, restricted, or removed from service according to the severity of the defect and due-process standards.</w:t>
      </w:r>
    </w:p>
    <w:p>
      <w:pPr>
        <w:pStyle w:val="ListBullet"/>
        <w:spacing w:after="45" w:line="247" w:lineRule="auto"/>
        <w:keepLines/>
        <w:widowControl/>
      </w:pPr>
      <w:r>
        <w:rPr>
          <w:rFonts w:ascii="Aptos" w:hAnsi="Aptos" w:eastAsia="Aptos" w:cs="Aptos"/>
          <w:color w:val="202020"/>
          <w:sz w:val="18"/>
        </w:rPr>
        <w:t>Emissions testing is reduced, modernized, or eliminated where not federally required and where evidence does not justify the burden. Counties or vehicle classes subject to federal air-quality obligations remain compliant until lawful relief or plan changes are approved.</w:t>
      </w:r>
    </w:p>
    <w:p>
      <w:pPr>
        <w:pStyle w:val="ListBullet"/>
        <w:spacing w:after="45" w:line="247" w:lineRule="auto"/>
        <w:keepLines/>
        <w:widowControl/>
      </w:pPr>
      <w:r>
        <w:rPr>
          <w:rFonts w:ascii="Aptos" w:hAnsi="Aptos" w:eastAsia="Aptos" w:cs="Aptos"/>
          <w:color w:val="202020"/>
          <w:sz w:val="18"/>
        </w:rPr>
        <w:t>Registration is modernized through digital options, plain-language renewal notices, reasonable grace periods, electronic proof where lawful, and improved coordination between registration and inspection records.</w:t>
      </w:r>
    </w:p>
    <w:p>
      <w:pPr>
        <w:pStyle w:val="ListBullet"/>
        <w:spacing w:after="45" w:line="247" w:lineRule="auto"/>
        <w:keepLines/>
        <w:widowControl/>
      </w:pPr>
      <w:r>
        <w:rPr>
          <w:rFonts w:ascii="Aptos" w:hAnsi="Aptos" w:eastAsia="Aptos" w:cs="Aptos"/>
          <w:color w:val="202020"/>
          <w:sz w:val="18"/>
        </w:rPr>
        <w:t>Mobile inspection services, low-mileage relief, seasonal-vehicle relief, collector or limited-use treatment, and other flexible options may be authorized where they preserve safety and prevent unnecessary travel or cost.</w:t>
      </w:r>
    </w:p>
    <w:p>
      <w:pPr>
        <w:pStyle w:val="ListBullet"/>
        <w:spacing w:after="45" w:line="247" w:lineRule="auto"/>
        <w:keepLines/>
        <w:widowControl/>
      </w:pPr>
      <w:r>
        <w:rPr>
          <w:rFonts w:ascii="Aptos" w:hAnsi="Aptos" w:eastAsia="Aptos" w:cs="Aptos"/>
          <w:color w:val="202020"/>
          <w:sz w:val="18"/>
        </w:rPr>
        <w:t>Inspection and related administrative fees are subject to transparency, reasonable caps or market protections, anti-fraud enforcement, station and mechanic accountability, complaint rights, audit authority, and privacy rules limiting unnecessary collection or retention of driver data.</w:t>
      </w:r>
    </w:p>
    <w:p>
      <w:pPr>
        <w:pStyle w:val="ListBullet"/>
        <w:spacing w:after="45" w:line="247" w:lineRule="auto"/>
        <w:keepLines/>
        <w:widowControl/>
      </w:pPr>
      <w:r>
        <w:rPr>
          <w:rFonts w:ascii="Aptos" w:hAnsi="Aptos" w:eastAsia="Aptos" w:cs="Aptos"/>
          <w:color w:val="202020"/>
          <w:sz w:val="18"/>
        </w:rPr>
        <w:t>Commercial registration and permit structures may reflect vehicle weight and regulatory cost, but interstate carriers remain governed consistently with IRP, IFTA, federal law, and interstate-commerce requirements.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13 - State Police Funding, Public Safety Coordination, and Emergency Transportation</w:t>
      </w:r>
    </w:p>
    <w:p>
      <w:pPr>
        <w:spacing w:after="64" w:line="248" w:lineRule="auto"/>
        <w:keepNext/>
        <w:widowControl/>
      </w:pPr>
      <w:r>
        <w:rPr>
          <w:rFonts w:ascii="Aptos" w:hAnsi="Aptos" w:eastAsia="Aptos" w:cs="Aptos"/>
          <w:color w:val="202020"/>
          <w:sz w:val="19"/>
        </w:rPr>
        <w:t>Pennsylvania State Police provide an essential statewide public-safety service. Costs that are fundamentally public safety should be funded transparently through Public Safety Reform rather than hidden inside transportation accounts.</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Transportation-related State Police costs that do not properly belong in transportation accounts transition to a separate public-safety funding structure over five years.</w:t>
      </w:r>
    </w:p>
    <w:p>
      <w:pPr>
        <w:pStyle w:val="ListBullet"/>
        <w:spacing w:after="45" w:line="247" w:lineRule="auto"/>
        <w:keepLines/>
        <w:widowControl/>
      </w:pPr>
      <w:r>
        <w:rPr>
          <w:rFonts w:ascii="Aptos" w:hAnsi="Aptos" w:eastAsia="Aptos" w:cs="Aptos"/>
          <w:color w:val="202020"/>
          <w:sz w:val="18"/>
        </w:rPr>
        <w:t>The transition is coordinated with statewide patrol coverage, municipalities relying on State Police, regional policing, rural coverage, municipal fiscal capacity, population, call volume, risk, geography, and the broader Property Tax and Public Safety reforms.</w:t>
      </w:r>
    </w:p>
    <w:p>
      <w:pPr>
        <w:pStyle w:val="ListBullet"/>
        <w:spacing w:after="45" w:line="247" w:lineRule="auto"/>
        <w:keepLines/>
        <w:widowControl/>
      </w:pPr>
      <w:r>
        <w:rPr>
          <w:rFonts w:ascii="Aptos" w:hAnsi="Aptos" w:eastAsia="Aptos" w:cs="Aptos"/>
          <w:color w:val="202020"/>
          <w:sz w:val="18"/>
        </w:rPr>
        <w:t>Nothing in this transportation framework establishes a punitive flat municipal police charge or forces a distressed or rural municipality to create a local department regardless of need or ability to pay.</w:t>
      </w:r>
    </w:p>
    <w:p>
      <w:pPr>
        <w:pStyle w:val="ListBullet"/>
        <w:spacing w:after="45" w:line="247" w:lineRule="auto"/>
        <w:keepLines/>
        <w:widowControl/>
      </w:pPr>
      <w:r>
        <w:rPr>
          <w:rFonts w:ascii="Aptos" w:hAnsi="Aptos" w:eastAsia="Aptos" w:cs="Aptos"/>
          <w:color w:val="202020"/>
          <w:sz w:val="18"/>
        </w:rPr>
        <w:t>Legitimate transportation-safety enforcement costs that are directly attributable to highway patrol, commercial vehicle safety, crash investigation, work-zone enforcement, or other transportation purposes may remain transportation-eligible where lawfully and transparently allocated.</w:t>
      </w:r>
    </w:p>
    <w:p>
      <w:pPr>
        <w:pStyle w:val="ListBullet"/>
        <w:spacing w:after="45" w:line="247" w:lineRule="auto"/>
        <w:keepLines/>
        <w:widowControl/>
      </w:pPr>
      <w:r>
        <w:rPr>
          <w:rFonts w:ascii="Aptos" w:hAnsi="Aptos" w:eastAsia="Aptos" w:cs="Aptos"/>
          <w:color w:val="202020"/>
          <w:sz w:val="18"/>
        </w:rPr>
        <w:t>Emergency detours, evacuation routes, disaster response, hazardous-material incidents, severe weather, bridge closures, and major transportation emergencies are coordinated through PennDOT, State Police, PEMA, local emergency management, fire, EMS, and affected municipalities.</w:t>
      </w:r>
    </w:p>
    <w:p>
      <w:pPr>
        <w:pStyle w:val="ListBullet"/>
        <w:spacing w:after="45" w:line="247" w:lineRule="auto"/>
        <w:keepLines/>
        <w:widowControl/>
      </w:pPr>
      <w:r>
        <w:rPr>
          <w:rFonts w:ascii="Aptos" w:hAnsi="Aptos" w:eastAsia="Aptos" w:cs="Aptos"/>
          <w:color w:val="202020"/>
          <w:sz w:val="18"/>
        </w:rPr>
        <w:t>Public reporting clearly separates transportation spending from general public-safety spending so neither system is used to disguise the true cost of the other.</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14 - Dedicated Transportation Revenue, Lockboxes, Reserves, and Anti-Diversion</w:t>
      </w:r>
    </w:p>
    <w:p>
      <w:pPr>
        <w:spacing w:after="64" w:line="248" w:lineRule="auto"/>
        <w:keepNext/>
        <w:widowControl/>
      </w:pPr>
      <w:r>
        <w:rPr>
          <w:rFonts w:ascii="Aptos" w:hAnsi="Aptos" w:eastAsia="Aptos" w:cs="Aptos"/>
          <w:color w:val="202020"/>
          <w:sz w:val="19"/>
        </w:rPr>
        <w:t>Transportation replacement revenue should remain transportation revenue. Dedicated accounting, reserves, and anti-diversion rules are necessary so the public can see whether the reform is actually funding roads, bridges, transit, debt, and local transportation.</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The dedicated transportation funding structure separately tracks transportation sales-tax revenue, remaining gasoline-tax revenue during phaseout, remaining diesel-tax revenue during transition, passenger-toll revenue during transition, commercial Turnpike toll revenue, commercial road-use revenue, federal funds, Liquid Fuels distributions, investment income, debt payments, transit funding, infrastructure spending, administration, reserves, recoveries, and audit savings.</w:t>
      </w:r>
    </w:p>
    <w:p>
      <w:pPr>
        <w:pStyle w:val="ListBullet"/>
        <w:spacing w:after="45" w:line="247" w:lineRule="auto"/>
        <w:keepLines/>
        <w:widowControl/>
      </w:pPr>
      <w:r>
        <w:rPr>
          <w:rFonts w:ascii="Aptos" w:hAnsi="Aptos" w:eastAsia="Aptos" w:cs="Aptos"/>
          <w:color w:val="202020"/>
          <w:sz w:val="18"/>
        </w:rPr>
        <w:t>No transportation revenue source may be counted simultaneously toward Transportation Reform and Property Tax Reform, Education Reform, healthcare, Public Safety Reform, another tax reduction, or another state spending promise without a clear statutory allocation and public accounting.</w:t>
      </w:r>
    </w:p>
    <w:p>
      <w:pPr>
        <w:pStyle w:val="ListBullet"/>
        <w:spacing w:after="45" w:line="247" w:lineRule="auto"/>
        <w:keepLines/>
        <w:widowControl/>
      </w:pPr>
      <w:r>
        <w:rPr>
          <w:rFonts w:ascii="Aptos" w:hAnsi="Aptos" w:eastAsia="Aptos" w:cs="Aptos"/>
          <w:color w:val="202020"/>
          <w:sz w:val="18"/>
        </w:rPr>
        <w:t>Transportation accounts may not be treated as a general-government catch-all fund. Diversion requires clear legal authority, transparent accounting, public reporting, and a legitimate transportation nexus.</w:t>
      </w:r>
    </w:p>
    <w:p>
      <w:pPr>
        <w:pStyle w:val="ListBullet"/>
        <w:spacing w:after="45" w:line="247" w:lineRule="auto"/>
        <w:keepLines/>
        <w:widowControl/>
      </w:pPr>
      <w:r>
        <w:rPr>
          <w:rFonts w:ascii="Aptos" w:hAnsi="Aptos" w:eastAsia="Aptos" w:cs="Aptos"/>
          <w:color w:val="202020"/>
          <w:sz w:val="18"/>
        </w:rPr>
        <w:t>A Transportation Stabilization Reserve may be used for temporary revenue shortfalls, emergency repairs, lawful debt, essential transit, local-road stabilization, corrective taxpayer relief, severe disasters, and implementation timing issues.</w:t>
      </w:r>
    </w:p>
    <w:p>
      <w:pPr>
        <w:pStyle w:val="ListBullet"/>
        <w:spacing w:after="45" w:line="247" w:lineRule="auto"/>
        <w:keepLines/>
        <w:widowControl/>
      </w:pPr>
      <w:r>
        <w:rPr>
          <w:rFonts w:ascii="Aptos" w:hAnsi="Aptos" w:eastAsia="Aptos" w:cs="Aptos"/>
          <w:color w:val="202020"/>
          <w:sz w:val="18"/>
        </w:rPr>
        <w:t>The reserve may not become a permanent funding source for recurring administrative expansion, unrelated programs, patronage, or lower-priority projects that cannot be supported by recurring revenue.</w:t>
      </w:r>
    </w:p>
    <w:p>
      <w:pPr>
        <w:pStyle w:val="ListBullet"/>
        <w:spacing w:after="45" w:line="247" w:lineRule="auto"/>
        <w:keepLines/>
        <w:widowControl/>
      </w:pPr>
      <w:r>
        <w:rPr>
          <w:rFonts w:ascii="Aptos" w:hAnsi="Aptos" w:eastAsia="Aptos" w:cs="Aptos"/>
          <w:color w:val="202020"/>
          <w:sz w:val="18"/>
        </w:rPr>
        <w:t>Excess recurring transportation revenue is directed first to verified repair needs, lawful debt reduction, required reserves, local distributions, taxpayer relief, and transportation-cost reduction rather than unrelated spending expansion.</w:t>
      </w:r>
    </w:p>
    <w:p>
      <w:pPr>
        <w:pStyle w:val="ListBullet"/>
        <w:spacing w:after="45" w:line="247" w:lineRule="auto"/>
        <w:keepLines/>
        <w:widowControl/>
      </w:pPr>
      <w:r>
        <w:rPr>
          <w:rFonts w:ascii="Aptos" w:hAnsi="Aptos" w:eastAsia="Aptos" w:cs="Aptos"/>
          <w:color w:val="202020"/>
          <w:sz w:val="18"/>
        </w:rPr>
        <w:t>Dedicated-fund transfers, reserve draws, interfund borrowing, and debt-financed work are disclosed on the public dashboard with authorization, purpose, amount, repayment terms, and status.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15 - Transparency, Public Dashboard, Reporting, and Taxpayer Accountability</w:t>
      </w:r>
    </w:p>
    <w:p>
      <w:pPr>
        <w:spacing w:after="64" w:line="248" w:lineRule="auto"/>
        <w:keepNext/>
        <w:widowControl/>
      </w:pPr>
      <w:r>
        <w:rPr>
          <w:rFonts w:ascii="Aptos" w:hAnsi="Aptos" w:eastAsia="Aptos" w:cs="Aptos"/>
          <w:color w:val="202020"/>
          <w:sz w:val="19"/>
        </w:rPr>
        <w:t>Pennsylvanians should be able to see the condition of the infrastructure they use and where every major transportation dollar goes. Public reporting measures results, not simply how much government spent.</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A single statewide transportation dashboard reports project name, location, county, purpose, condition, original cost, current cost, amount spent, funding source, contractor, completion dates, delays, change orders, safety issues, bridge and roadway condition, and repair-backlog status.</w:t>
      </w:r>
    </w:p>
    <w:p>
      <w:pPr>
        <w:pStyle w:val="ListBullet"/>
        <w:spacing w:after="45" w:line="247" w:lineRule="auto"/>
        <w:keepLines/>
        <w:widowControl/>
      </w:pPr>
      <w:r>
        <w:rPr>
          <w:rFonts w:ascii="Aptos" w:hAnsi="Aptos" w:eastAsia="Aptos" w:cs="Aptos"/>
          <w:color w:val="202020"/>
          <w:sz w:val="18"/>
        </w:rPr>
        <w:t>The dashboard tracks gasoline-tax phaseout, passenger-toll reduction and elimination, diesel-tax transition, commercial road-use revenue, commercial toll revenue, transportation sales-tax revenue, Liquid Fuels distributions, federal funds, Turnpike debt, debt-service cost, administrative spending, reserve balances, audit findings, and corrective actions.</w:t>
      </w:r>
    </w:p>
    <w:p>
      <w:pPr>
        <w:pStyle w:val="ListBullet"/>
        <w:spacing w:after="45" w:line="247" w:lineRule="auto"/>
        <w:keepLines/>
        <w:widowControl/>
      </w:pPr>
      <w:r>
        <w:rPr>
          <w:rFonts w:ascii="Aptos" w:hAnsi="Aptos" w:eastAsia="Aptos" w:cs="Aptos"/>
          <w:color w:val="202020"/>
          <w:sz w:val="18"/>
        </w:rPr>
        <w:t>Quarterly public reporting covers repair backlog, project status, costs, toll-road performance, debt, major contracts, revenue performance, local distributions, and implementation milestones.</w:t>
      </w:r>
    </w:p>
    <w:p>
      <w:pPr>
        <w:pStyle w:val="ListBullet"/>
        <w:spacing w:after="45" w:line="247" w:lineRule="auto"/>
        <w:keepLines/>
        <w:widowControl/>
      </w:pPr>
      <w:r>
        <w:rPr>
          <w:rFonts w:ascii="Aptos" w:hAnsi="Aptos" w:eastAsia="Aptos" w:cs="Aptos"/>
          <w:color w:val="202020"/>
          <w:sz w:val="18"/>
        </w:rPr>
        <w:t>Major cost overruns, schedule delays, scope changes, cancelled projects, bridge restrictions, safety failures, and materially missed reform targets require a public explanation and corrective plan.</w:t>
      </w:r>
    </w:p>
    <w:p>
      <w:pPr>
        <w:pStyle w:val="ListBullet"/>
        <w:spacing w:after="45" w:line="247" w:lineRule="auto"/>
        <w:keepLines/>
        <w:widowControl/>
      </w:pPr>
      <w:r>
        <w:rPr>
          <w:rFonts w:ascii="Aptos" w:hAnsi="Aptos" w:eastAsia="Aptos" w:cs="Aptos"/>
          <w:color w:val="202020"/>
          <w:sz w:val="18"/>
        </w:rPr>
        <w:t>Data are published in downloadable and understandable formats while protecting personal information, proprietary information, active law-enforcement matters, and legitimately confidential security data.</w:t>
      </w:r>
    </w:p>
    <w:p>
      <w:pPr>
        <w:pStyle w:val="ListBullet"/>
        <w:spacing w:after="45" w:line="247" w:lineRule="auto"/>
        <w:keepLines/>
        <w:widowControl/>
      </w:pPr>
      <w:r>
        <w:rPr>
          <w:rFonts w:ascii="Aptos" w:hAnsi="Aptos" w:eastAsia="Aptos" w:cs="Aptos"/>
          <w:color w:val="202020"/>
          <w:sz w:val="18"/>
        </w:rPr>
        <w:t>State agencies and successor Turnpike functions use common project identifiers and accounting standards so the same project cannot be hidden across multiple accounts or reported inconsistently.</w:t>
      </w:r>
    </w:p>
    <w:p>
      <w:pPr>
        <w:pStyle w:val="ListBullet"/>
        <w:spacing w:after="45" w:line="247" w:lineRule="auto"/>
        <w:keepLines/>
        <w:widowControl/>
      </w:pPr>
      <w:r>
        <w:rPr>
          <w:rFonts w:ascii="Aptos" w:hAnsi="Aptos" w:eastAsia="Aptos" w:cs="Aptos"/>
          <w:color w:val="202020"/>
          <w:sz w:val="18"/>
        </w:rPr>
        <w:t>Annual public reports compare spending with measurable outcomes including pavement condition, bridge condition, crash risk, backlog reduction, project delivery, local-road condition, transit performance, debt reduction, and taxpayer burden.</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16 - Revenue Sufficiency, Shortfalls, Excess Revenue, and Economic Safeguards</w:t>
      </w:r>
    </w:p>
    <w:p>
      <w:pPr>
        <w:spacing w:after="64" w:line="248" w:lineRule="auto"/>
        <w:keepNext/>
        <w:widowControl/>
      </w:pPr>
      <w:r>
        <w:rPr>
          <w:rFonts w:ascii="Aptos" w:hAnsi="Aptos" w:eastAsia="Aptos" w:cs="Aptos"/>
          <w:color w:val="202020"/>
          <w:sz w:val="19"/>
        </w:rPr>
        <w:t>The goal of transportation funding is sufficient recurring revenue, not maximum taxation. Revenue, debt, infrastructure obligations, taxpayer burden, and economic effects must be reviewed continuously so the system can correct in either direction.</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Annual transportation funding reviews compare projected and actual transportation sales-tax revenue, commercial road-use revenue, commercial Turnpike revenue, federal funds, existing transportation revenue, debt savings, audit savings, procurement savings, infrastructure obligations, Liquid Fuels distributions, transit obligations, debt service, and reserves.</w:t>
      </w:r>
    </w:p>
    <w:p>
      <w:pPr>
        <w:pStyle w:val="ListBullet"/>
        <w:spacing w:after="45" w:line="247" w:lineRule="auto"/>
        <w:keepLines/>
        <w:widowControl/>
      </w:pPr>
      <w:r>
        <w:rPr>
          <w:rFonts w:ascii="Aptos" w:hAnsi="Aptos" w:eastAsia="Aptos" w:cs="Aptos"/>
          <w:color w:val="202020"/>
          <w:sz w:val="18"/>
        </w:rPr>
        <w:t>If revenue materially underperforms, lower-priority expansion remains paused and core repair, maintenance, safety, lawful debt, and essential local and transit obligations retain priority.</w:t>
      </w:r>
    </w:p>
    <w:p>
      <w:pPr>
        <w:pStyle w:val="ListBullet"/>
        <w:spacing w:after="45" w:line="247" w:lineRule="auto"/>
        <w:keepLines/>
        <w:widowControl/>
      </w:pPr>
      <w:r>
        <w:rPr>
          <w:rFonts w:ascii="Aptos" w:hAnsi="Aptos" w:eastAsia="Aptos" w:cs="Aptos"/>
          <w:color w:val="202020"/>
          <w:sz w:val="18"/>
        </w:rPr>
        <w:t>Before taxes, tolls, or road-use rates are increased, government must review spending, nonessential administration, procurement, debt restructuring, reserve use, collection accuracy, fraud and evasion, commercial reconciliation, federal funding, project prioritization, and recurring savings.</w:t>
      </w:r>
    </w:p>
    <w:p>
      <w:pPr>
        <w:pStyle w:val="ListBullet"/>
        <w:spacing w:after="45" w:line="247" w:lineRule="auto"/>
        <w:keepLines/>
        <w:widowControl/>
      </w:pPr>
      <w:r>
        <w:rPr>
          <w:rFonts w:ascii="Aptos" w:hAnsi="Aptos" w:eastAsia="Aptos" w:cs="Aptos"/>
          <w:color w:val="202020"/>
          <w:sz w:val="18"/>
        </w:rPr>
        <w:t>If the reformed system produces materially more recurring revenue than required for certified transportation need, the Commonwealth reviews tax, toll, or road-use reductions, accelerated debt reduction, taxpayer credits, or other transportation-cost relief.</w:t>
      </w:r>
    </w:p>
    <w:p>
      <w:pPr>
        <w:pStyle w:val="ListBullet"/>
        <w:spacing w:after="45" w:line="247" w:lineRule="auto"/>
        <w:keepLines/>
        <w:widowControl/>
      </w:pPr>
      <w:r>
        <w:rPr>
          <w:rFonts w:ascii="Aptos" w:hAnsi="Aptos" w:eastAsia="Aptos" w:cs="Aptos"/>
          <w:color w:val="202020"/>
          <w:sz w:val="18"/>
        </w:rPr>
        <w:t>Economic review measures household transportation cost, shipping cost, small-carrier impact, rural impact, municipal impact, transit service, freight routing, consumer prices, business competitiveness, road condition, bridge condition, and construction-market capacity.</w:t>
      </w:r>
    </w:p>
    <w:p>
      <w:pPr>
        <w:pStyle w:val="ListBullet"/>
        <w:spacing w:after="45" w:line="247" w:lineRule="auto"/>
        <w:keepLines/>
        <w:widowControl/>
      </w:pPr>
      <w:r>
        <w:rPr>
          <w:rFonts w:ascii="Aptos" w:hAnsi="Aptos" w:eastAsia="Aptos" w:cs="Aptos"/>
          <w:color w:val="202020"/>
          <w:sz w:val="18"/>
        </w:rPr>
        <w:t>Temporary stabilization programs, emergency exceptions, pilot programs, and transition aid sunset unless renewed after public review and evidence of continued need.</w:t>
      </w:r>
    </w:p>
    <w:p>
      <w:pPr>
        <w:pStyle w:val="ListBullet"/>
        <w:spacing w:after="45" w:line="247" w:lineRule="auto"/>
        <w:keepLines/>
        <w:widowControl/>
      </w:pPr>
      <w:r>
        <w:rPr>
          <w:rFonts w:ascii="Aptos" w:hAnsi="Aptos" w:eastAsia="Aptos" w:cs="Aptos"/>
          <w:color w:val="202020"/>
          <w:sz w:val="18"/>
        </w:rPr>
        <w:t>The Commonwealth does not advertise gross tax or toll cuts as net savings without publicly reporting the related replacement-revenue burden and material taxpayer-group impacts.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17 - Transition, Stabilization, Technology Change, and Anti-Circumvention</w:t>
      </w:r>
    </w:p>
    <w:p>
      <w:pPr>
        <w:spacing w:after="64" w:line="248" w:lineRule="auto"/>
        <w:keepNext/>
        <w:widowControl/>
      </w:pPr>
      <w:r>
        <w:rPr>
          <w:rFonts w:ascii="Aptos" w:hAnsi="Aptos" w:eastAsia="Aptos" w:cs="Aptos"/>
          <w:color w:val="202020"/>
          <w:sz w:val="19"/>
        </w:rPr>
        <w:t>Transportation reform of this scale must be phased, but transition cannot become a permanent excuse for delay. The framework also anticipates changing vehicle technology without adopting continuous surveillance of ordinary drivers.</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Fix Roads First, audits, dashboard development, procurement accountability, anti-diversion protections, and urgent repairs begin immediately even while tax, toll, debt, and agency transitions phase in.</w:t>
      </w:r>
    </w:p>
    <w:p>
      <w:pPr>
        <w:pStyle w:val="ListBullet"/>
        <w:spacing w:after="45" w:line="247" w:lineRule="auto"/>
        <w:keepLines/>
        <w:widowControl/>
      </w:pPr>
      <w:r>
        <w:rPr>
          <w:rFonts w:ascii="Aptos" w:hAnsi="Aptos" w:eastAsia="Aptos" w:cs="Aptos"/>
          <w:color w:val="202020"/>
          <w:sz w:val="18"/>
        </w:rPr>
        <w:t>The transition coordinates the five-year gasoline-tax phaseout, three-year passenger-toll elimination, phased 6-to-9-percent sales-tax shift, commercial diesel replacement, road-use launch, commercial toll reduction, small-carrier relief, debt restructuring, Turnpike integration, State Police funding transfer, and local-funding protection.</w:t>
      </w:r>
    </w:p>
    <w:p>
      <w:pPr>
        <w:pStyle w:val="ListBullet"/>
        <w:spacing w:after="45" w:line="247" w:lineRule="auto"/>
        <w:keepLines/>
        <w:widowControl/>
      </w:pPr>
      <w:r>
        <w:rPr>
          <w:rFonts w:ascii="Aptos" w:hAnsi="Aptos" w:eastAsia="Aptos" w:cs="Aptos"/>
          <w:color w:val="202020"/>
          <w:sz w:val="18"/>
        </w:rPr>
        <w:t>The Commonwealth may use pilots for commercial reporting, inspection modernization, digital registration, data reconciliation, or other operational changes when statewide implementation benefits from testing, but pilots require deadlines, evaluation, privacy rules, and sunset provisions.</w:t>
      </w:r>
    </w:p>
    <w:p>
      <w:pPr>
        <w:pStyle w:val="ListBullet"/>
        <w:spacing w:after="45" w:line="247" w:lineRule="auto"/>
        <w:keepLines/>
        <w:widowControl/>
      </w:pPr>
      <w:r>
        <w:rPr>
          <w:rFonts w:ascii="Aptos" w:hAnsi="Aptos" w:eastAsia="Aptos" w:cs="Aptos"/>
          <w:color w:val="202020"/>
          <w:sz w:val="18"/>
        </w:rPr>
        <w:t>As electric, hybrid, hydrogen, or other alternative-fuel vehicles become more common, future passenger-side funding adjustments require separate public fiscal analysis, net-burden disclosure, legislative authorization, privacy safeguards, and coordination with the approved transportation funding structure.</w:t>
      </w:r>
    </w:p>
    <w:p>
      <w:pPr>
        <w:pStyle w:val="ListBullet"/>
        <w:spacing w:after="45" w:line="247" w:lineRule="auto"/>
        <w:keepLines/>
        <w:widowControl/>
      </w:pPr>
      <w:r>
        <w:rPr>
          <w:rFonts w:ascii="Aptos" w:hAnsi="Aptos" w:eastAsia="Aptos" w:cs="Aptos"/>
          <w:color w:val="202020"/>
          <w:sz w:val="18"/>
        </w:rPr>
        <w:t>This framework does not authorize continuous state GPS tracking, a universal passenger-vehicle mileage tax, or broad surveillance solely because vehicle technology changes. Any future proposal of that kind requires separate legislation and full public review.</w:t>
      </w:r>
    </w:p>
    <w:p>
      <w:pPr>
        <w:pStyle w:val="ListBullet"/>
        <w:spacing w:after="45" w:line="247" w:lineRule="auto"/>
        <w:keepLines/>
        <w:widowControl/>
      </w:pPr>
      <w:r>
        <w:rPr>
          <w:rFonts w:ascii="Aptos" w:hAnsi="Aptos" w:eastAsia="Aptos" w:cs="Aptos"/>
          <w:color w:val="202020"/>
          <w:sz w:val="18"/>
        </w:rPr>
        <w:t>No agency, authority, or successor body may recreate eliminated gasoline taxes or passenger tolls through disguised motorist fees, arbitrary passenger surcharges, unnecessary licensing increases, substitute authority charges, hidden assessments, or newly labeled commuter tolls whose primary purpose is circumvention.</w:t>
      </w:r>
    </w:p>
    <w:p>
      <w:pPr>
        <w:pStyle w:val="ListBullet"/>
        <w:spacing w:after="45" w:line="247" w:lineRule="auto"/>
        <w:keepLines/>
        <w:widowControl/>
      </w:pPr>
      <w:r>
        <w:rPr>
          <w:rFonts w:ascii="Aptos" w:hAnsi="Aptos" w:eastAsia="Aptos" w:cs="Aptos"/>
          <w:color w:val="202020"/>
          <w:sz w:val="18"/>
        </w:rPr>
        <w:t>Implementation delays require written findings, public reporting, a corrective schedule, and a defined end date. Fiscal difficulty alone does not justify protecting nonessential spending while delaying binding reform targets.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certified fiscal baselines, public reporting, independent audits, transparent rulemaking, taxpayer and carrier notice, corrective action, and enforcement mechanisms consistent with the full transportation reform framework.</w:t>
      </w:r>
    </w:p>
    <w:p>
      <w:pPr>
        <w:spacing w:before="160" w:after="80" w:line="240" w:lineRule="auto"/>
        <w:keepLines/>
        <w:widowControl/>
        <w:keepNext/>
        <w:pBdr>
          <w:top w:val="single" w:sz="8" w:space="5" w:color="C69C3C"/>
          <w:bottom w:val="single" w:sz="4" w:space="2" w:color="1F4E79"/>
        </w:pBdr>
      </w:pPr>
      <w:r>
        <w:rPr>
          <w:rFonts w:ascii="Aptos" w:hAnsi="Aptos" w:eastAsia="Aptos" w:cs="Aptos"/>
          <w:b/>
          <w:color w:val="17365D"/>
          <w:sz w:val="26"/>
        </w:rPr>
        <w:t>Part 18 - Legal Authority, Implementation, Federal and Constitutional Safeguards, and Final Review</w:t>
      </w:r>
    </w:p>
    <w:p>
      <w:pPr>
        <w:spacing w:after="64" w:line="248" w:lineRule="auto"/>
        <w:keepNext/>
        <w:widowControl/>
      </w:pPr>
      <w:r>
        <w:rPr>
          <w:rFonts w:ascii="Aptos" w:hAnsi="Aptos" w:eastAsia="Aptos" w:cs="Aptos"/>
          <w:color w:val="202020"/>
          <w:sz w:val="19"/>
        </w:rPr>
        <w:t>The reform proceeds primarily through statutory action, administrative restructuring, debt and budget action, and lawful coordination with federal transportation requirements. Durable taxpayer protections may be strengthened through constitutional or other legal safeguards where appropriate, but legal review cannot become an excuse to postpone reforms that can lawfully begin immediately.</w:t>
      </w:r>
    </w:p>
    <w:p>
      <w:pPr>
        <w:spacing w:after="40" w:before="110" w:line="240" w:lineRule="auto"/>
        <w:keepLines/>
        <w:widowControl/>
        <w:keepNext/>
      </w:pPr>
      <w:r>
        <w:rPr>
          <w:rFonts w:ascii="Aptos" w:hAnsi="Aptos" w:eastAsia="Aptos" w:cs="Aptos"/>
          <w:b/>
          <w:color w:val="B8860B"/>
          <w:sz w:val="21"/>
        </w:rPr>
        <w:t>Approved Policy Provisions</w:t>
      </w:r>
    </w:p>
    <w:p>
      <w:pPr>
        <w:pStyle w:val="ListBullet"/>
        <w:spacing w:after="45" w:line="247" w:lineRule="auto"/>
        <w:keepLines/>
        <w:widowControl/>
      </w:pPr>
      <w:r>
        <w:rPr>
          <w:rFonts w:ascii="Aptos" w:hAnsi="Aptos" w:eastAsia="Aptos" w:cs="Aptos"/>
          <w:color w:val="202020"/>
          <w:sz w:val="18"/>
        </w:rPr>
        <w:t>Implementing legislation shall define covered taxes, covered vehicles, final commercial weight classes, reporting periods, audit standards, passenger-toll transition dates, sales-tax phase steps, debt treatment, local-funding formulas, inspection classes, enforcement jurisdiction, appeal rights, and agency responsibilities.</w:t>
      </w:r>
    </w:p>
    <w:p>
      <w:pPr>
        <w:pStyle w:val="ListBullet"/>
        <w:spacing w:after="45" w:line="247" w:lineRule="auto"/>
        <w:keepLines/>
        <w:widowControl/>
      </w:pPr>
      <w:r>
        <w:rPr>
          <w:rFonts w:ascii="Aptos" w:hAnsi="Aptos" w:eastAsia="Aptos" w:cs="Aptos"/>
          <w:color w:val="202020"/>
          <w:sz w:val="18"/>
        </w:rPr>
        <w:t>Rulemaking is limited to implementation. Agencies may not use regulations to weaken the five-year gasoline-tax elimination, three-year passenger-toll elimination, no-double-charge rule, small-carrier protections, repair-first requirement, dedicated-fund protections, privacy safeguards, or other binding policy standards established by law.</w:t>
      </w:r>
    </w:p>
    <w:p>
      <w:pPr>
        <w:pStyle w:val="ListBullet"/>
        <w:spacing w:after="45" w:line="247" w:lineRule="auto"/>
        <w:keepLines/>
        <w:widowControl/>
      </w:pPr>
      <w:r>
        <w:rPr>
          <w:rFonts w:ascii="Aptos" w:hAnsi="Aptos" w:eastAsia="Aptos" w:cs="Aptos"/>
          <w:color w:val="202020"/>
          <w:sz w:val="18"/>
        </w:rPr>
        <w:t>State standards may preempt conflicting local rules where necessary to administer statewide transportation taxes, toll transitions, commercial road-use rules, Turnpike functions, audits, reporting, truck-route standards, or inspection requirements, while preserving lawful local road management and police powers.</w:t>
      </w:r>
    </w:p>
    <w:p>
      <w:pPr>
        <w:pStyle w:val="ListBullet"/>
        <w:spacing w:after="45" w:line="247" w:lineRule="auto"/>
        <w:keepLines/>
        <w:widowControl/>
      </w:pPr>
      <w:r>
        <w:rPr>
          <w:rFonts w:ascii="Aptos" w:hAnsi="Aptos" w:eastAsia="Aptos" w:cs="Aptos"/>
          <w:color w:val="202020"/>
          <w:sz w:val="18"/>
        </w:rPr>
        <w:t>Federal requirements governing interstate commerce, IFTA, IRP, commercial motor vehicles, highway funding, emissions, transit grants, bond covenants, constitutional contracts, labor rights, disability access, environmental review, and civil rights remain controlling where applicable.</w:t>
      </w:r>
    </w:p>
    <w:p>
      <w:pPr>
        <w:pStyle w:val="ListBullet"/>
        <w:spacing w:after="45" w:line="247" w:lineRule="auto"/>
        <w:keepLines/>
        <w:widowControl/>
      </w:pPr>
      <w:r>
        <w:rPr>
          <w:rFonts w:ascii="Aptos" w:hAnsi="Aptos" w:eastAsia="Aptos" w:cs="Aptos"/>
          <w:color w:val="202020"/>
          <w:sz w:val="18"/>
        </w:rPr>
        <w:t>Affected taxpayers, carriers, municipalities, local transportation entities, transit providers, contractors, and other regulated parties receive notice, administrative review, appeal rights, and judicial review where required by law.</w:t>
      </w:r>
    </w:p>
    <w:p>
      <w:pPr>
        <w:pStyle w:val="ListBullet"/>
        <w:spacing w:after="45" w:line="247" w:lineRule="auto"/>
        <w:keepLines/>
        <w:widowControl/>
      </w:pPr>
      <w:r>
        <w:rPr>
          <w:rFonts w:ascii="Aptos" w:hAnsi="Aptos" w:eastAsia="Aptos" w:cs="Aptos"/>
          <w:color w:val="202020"/>
          <w:sz w:val="18"/>
        </w:rPr>
        <w:t>Strong severability preserves the remainder of the reform if one provision is enjoined, invalidated, or delayed, so long as the remaining provisions can function lawfully and consistently with the governing policy.</w:t>
      </w:r>
    </w:p>
    <w:p>
      <w:pPr>
        <w:pStyle w:val="ListBullet"/>
        <w:spacing w:after="45" w:line="247" w:lineRule="auto"/>
        <w:keepLines/>
        <w:widowControl/>
      </w:pPr>
      <w:r>
        <w:rPr>
          <w:rFonts w:ascii="Aptos" w:hAnsi="Aptos" w:eastAsia="Aptos" w:cs="Aptos"/>
          <w:color w:val="202020"/>
          <w:sz w:val="18"/>
        </w:rPr>
        <w:t>Annual implementation reports and independent five-year performance reviews examine cost relief, revenue sufficiency, repair backlog, bridge and road condition, debt, agency consolidation, local funding, commercial impacts, transit, safety, inspections, privacy, audits, enforcement, and whether deeper transportation-cost reductions are sustainable.</w:t>
      </w:r>
    </w:p>
    <w:p>
      <w:pPr>
        <w:pStyle w:val="ListBullet"/>
        <w:spacing w:after="45" w:line="247" w:lineRule="auto"/>
        <w:keepLines/>
        <w:widowControl/>
      </w:pPr>
      <w:r>
        <w:rPr>
          <w:rFonts w:ascii="Aptos" w:hAnsi="Aptos" w:eastAsia="Aptos" w:cs="Aptos"/>
          <w:color w:val="202020"/>
          <w:sz w:val="18"/>
        </w:rPr>
        <w:t>The final governing principle is that Pennsylvania shall collect what is necessary to maintain a safe, reliable transportation system, but shall not use transportation as an excuse for unnecessary taxation, hidden fees, duplicate bureaucracy, surveillance, or spending disconnected from measurable transportation results.</w:t>
      </w:r>
    </w:p>
    <w:p>
      <w:pPr>
        <w:spacing w:before="90" w:after="30" w:line="240" w:lineRule="auto"/>
        <w:keepLines/>
        <w:widowControl/>
        <w:keepNext/>
      </w:pPr>
      <w:r>
        <w:rPr>
          <w:rFonts w:ascii="Aptos" w:hAnsi="Aptos" w:eastAsia="Aptos" w:cs="Aptos"/>
          <w:b/>
          <w:color w:val="1F4E79"/>
          <w:sz w:val="21"/>
        </w:rPr>
        <w:t>Implementation Standard</w:t>
      </w:r>
    </w:p>
    <w:p>
      <w:pPr>
        <w:spacing w:after="110" w:line="248" w:lineRule="auto"/>
        <w:keepLines/>
        <w:widowControl/>
        <w:ind w:left="173" w:right="29"/>
        <w:pBdr>
          <w:left w:val="single" w:sz="12" w:space="5" w:color="C69C3C"/>
        </w:pBdr>
      </w:pPr>
      <w:r>
        <w:rPr>
          <w:rFonts w:ascii="Aptos" w:hAnsi="Aptos" w:eastAsia="Aptos" w:cs="Aptos"/>
          <w:i/>
          <w:color w:val="666666"/>
          <w:sz w:val="18"/>
        </w:rPr>
        <w:t>This Part is implemented through statutory deadlines, legal and fiscal review, transparent rulemaking, public reporting, independent audits, due-process protections, federal-compliance review, severability, corrective action, and recurring performance review. Constitutional or federal constraints shall be addressed directly without abandoning reforms that can lawfully proceed.</w:t>
      </w:r>
    </w:p>
    <w:p>
      <w:pPr>
        <w:spacing w:before="140" w:after="60" w:line="240" w:lineRule="auto"/>
        <w:keepLines/>
        <w:widowControl/>
        <w:keepNext/>
        <w:pBdr>
          <w:bottom w:val="single" w:sz="8" w:space="3" w:color="C69C3C"/>
        </w:pBdr>
      </w:pPr>
      <w:r>
        <w:rPr>
          <w:rFonts w:ascii="Aptos" w:hAnsi="Aptos" w:eastAsia="Aptos" w:cs="Aptos"/>
          <w:b/>
          <w:color w:val="17365D"/>
          <w:sz w:val="26"/>
        </w:rPr>
        <w:t>Closing Statement</w:t>
      </w:r>
    </w:p>
    <w:p>
      <w:pPr>
        <w:spacing w:after="80" w:line="248" w:lineRule="auto" w:before="40"/>
        <w:keepLines/>
        <w:widowControl/>
        <w:pBdr>
          <w:bottom w:val="single" w:sz="8" w:space="6" w:color="C69C3C"/>
        </w:pBdr>
      </w:pPr>
      <w:r>
        <w:rPr>
          <w:rFonts w:ascii="Aptos" w:hAnsi="Aptos" w:eastAsia="Aptos" w:cs="Aptos"/>
          <w:color w:val="202020"/>
          <w:sz w:val="20"/>
        </w:rPr>
        <w:t>This reform is designed to lower transportation costs while rebuilding the discipline needed to maintain Pennsylvania's roads, bridges, freight corridors, transit, and local transportation system. It phases out the gasoline tax, eliminates passenger tolls, replaces the covered commercial diesel tax with a fairer road-use model, protects small carriers and local communities, restructures Turnpike debt and bureaucracy, modernizes inspections, protects municipal funding, and makes transportation revenue traceable from collection to result. The standard is straightforward: Fix Roads First. Eliminate Passenger Tolls. Cut Fuel Taxes. Lower Costs. Protect Communities. Hold Government Accountable.</w:t>
      </w:r>
    </w:p>
    <w:sectPr w:rsidR="00FC693F" w:rsidRPr="0006063C" w:rsidSect="00034616">
      <w:headerReference w:type="default" r:id="rId9"/>
      <w:footerReference w:type="default" r:id="rId10"/>
      <w:pgSz w:w="12240" w:h="15840"/>
      <w:pgMar w:top="792" w:right="1037" w:bottom="792" w:left="1037"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line="240" w:lineRule="auto"/>
      <w:jc w:val="center"/>
      <w:pBdr>
        <w:top w:val="single" w:sz="6" w:space="4" w:color="C69C3C"/>
      </w:pBdr>
    </w:pPr>
    <w:r>
      <w:rPr>
        <w:rFonts w:ascii="Aptos" w:hAnsi="Aptos" w:eastAsia="Aptos" w:cs="Aptos"/>
        <w:color w:val="666666"/>
        <w:sz w:val="16"/>
      </w:rPr>
      <w:t xml:space="preserve">Pennsylvania Transportation Reform | Page </w:t>
    </w:r>
    <w:r>
      <w:rPr>
        <w:rFonts w:ascii="Aptos" w:hAnsi="Aptos" w:eastAsia="Aptos" w:cs="Aptos"/>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line="240" w:lineRule="auto"/>
      <w:jc w:val="center"/>
      <w:pBdr>
        <w:bottom w:val="single" w:sz="8" w:space="4" w:color="C69C3C"/>
      </w:pBdr>
    </w:pPr>
    <w:r>
      <w:rPr>
        <w:rFonts w:ascii="Aptos" w:hAnsi="Aptos" w:eastAsia="Aptos" w:cs="Aptos"/>
        <w:b/>
        <w:color w:val="17365D"/>
        <w:sz w:val="16"/>
      </w:rPr>
      <w:t>James Moore for Governor | Unbought. Unafraid. | www.mooreforpa.com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ptos" w:hAnsi="Aptos"/>
      <w:color w:val="2020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4" w:line="247" w:lineRule="auto"/>
      <w:contextualSpacing/>
    </w:pPr>
    <w:rPr>
      <w:rFonts w:ascii="Aptos" w:hAnsi="Aptos"/>
      <w:color w:val="202020"/>
      <w:sz w:val="19"/>
    </w:rPr>
  </w:style>
  <w:style w:type="paragraph" w:styleId="ListBullet2">
    <w:name w:val="List Bullet 2"/>
    <w:basedOn w:val="Normal"/>
    <w:uiPriority w:val="99"/>
    <w:unhideWhenUsed/>
    <w:rsid w:val="00326F90"/>
    <w:pPr>
      <w:numPr>
        <w:numId w:val="2"/>
      </w:numPr>
      <w:spacing w:after="44" w:line="247" w:lineRule="auto"/>
      <w:contextualSpacing/>
    </w:pPr>
    <w:rPr>
      <w:rFonts w:ascii="Aptos" w:hAnsi="Aptos"/>
      <w:color w:val="202020"/>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4" w:line="247" w:lineRule="auto"/>
      <w:contextualSpacing/>
    </w:pPr>
    <w:rPr>
      <w:rFonts w:ascii="Aptos" w:hAnsi="Aptos"/>
      <w:color w:val="202020"/>
      <w:sz w:val="19"/>
    </w:rPr>
  </w:style>
  <w:style w:type="paragraph" w:styleId="ListNumber2">
    <w:name w:val="List Number 2"/>
    <w:basedOn w:val="Normal"/>
    <w:uiPriority w:val="99"/>
    <w:unhideWhenUsed/>
    <w:rsid w:val="0029639D"/>
    <w:pPr>
      <w:numPr>
        <w:numId w:val="6"/>
      </w:numPr>
      <w:spacing w:after="44" w:line="247" w:lineRule="auto"/>
      <w:contextualSpacing/>
    </w:pPr>
    <w:rPr>
      <w:rFonts w:ascii="Aptos" w:hAnsi="Aptos"/>
      <w:color w:val="202020"/>
      <w:sz w:val="19"/>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Transportation Reform - Complete Official Campaign Policy Framework</dc:title>
  <dc:subject>James Moore for Governor transportation reform framework</dc:subject>
  <dc:creator>James Moore for Governor</dc:creator>
  <cp:keywords>Pennsylvania transportation reform, gas tax, Turnpike, roads, bridges, James Moore for Governor</cp:keywords>
  <dc:description>generated by python-docx</dc:description>
  <cp:lastModifiedBy/>
  <cp:revision>1</cp:revision>
  <dcterms:created xsi:type="dcterms:W3CDTF">2013-12-23T23:15:00Z</dcterms:created>
  <dcterms:modified xsi:type="dcterms:W3CDTF">2013-12-23T23:15:00Z</dcterms:modified>
  <cp:category/>
</cp:coreProperties>
</file>