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Pennsylvania Healthcare Affordability, Access &amp; Medicaid Accountability Reform</w:t>
      </w:r>
    </w:p>
    <w:p>
      <w:pPr>
        <w:pStyle w:val="Subtitle"/>
        <w:jc w:val="center"/>
      </w:pPr>
      <w:r>
        <w:t>Complete Official Campaign Policy Framework</w:t>
      </w:r>
    </w:p>
    <w:p>
      <w:pPr>
        <w:jc w:val="center"/>
      </w:pPr>
      <w:r>
        <w:rPr>
          <w:b/>
          <w:sz w:val="22"/>
        </w:rPr>
        <w:t>James Moore for Governor</w:t>
        <w:br/>
        <w:t>Unbought. Unafraid.</w:t>
      </w:r>
    </w:p>
    <w:p>
      <w:pPr>
        <w:jc w:val="center"/>
      </w:pPr>
      <w:r>
        <w:rPr>
          <w:sz w:val="17"/>
        </w:rPr>
        <w:t>www.mooreforpa.com | facebook.com/mooreforpa | x.com/mooreforpa | instagram.com/mooreforpa</w:t>
      </w:r>
    </w:p>
    <w:p>
      <w:pPr>
        <w:spacing w:after="40"/>
      </w:pPr>
    </w:p>
    <w:p>
      <w:pPr>
        <w:pStyle w:val="Heading1"/>
      </w:pPr>
      <w:r>
        <w:t>Executive Summary</w:t>
      </w:r>
    </w:p>
    <w:p>
      <w:pPr/>
      <w:r>
        <w:t>The Pennsylvania Healthcare Affordability, Access &amp; Medicaid Accountability Reform is a comprehensive healthcare framework designed to lower unnecessary costs, improve access, protect patients, strengthen legitimate providers, rebuild critical treatment capacity, reduce fraud and improper payments, modernize healthcare technology, and force government and publicly funded healthcare entities to prove measurable value. It is built around one governing principle: treat the problem, not merely manage it.</w:t>
      </w:r>
    </w:p>
    <w:p>
      <w:pPr>
        <w:pStyle w:val="CompactBullet"/>
      </w:pPr>
      <w:r>
        <w:t>Lower premiums, deductibles, prescription costs, hospital and procedure costs, medical debt exposure, and unnecessary out-of-pocket burdens while protecting access to medically necessary care.</w:t>
      </w:r>
    </w:p>
    <w:p>
      <w:pPr>
        <w:pStyle w:val="CompactBullet"/>
      </w:pPr>
      <w:r>
        <w:t>Protect treating-provider clinical judgment, narrow unnecessary prior authorization, require qualified human review of medical-necessity denials, and prevent delayed diagnosis from being mislabeled as savings.</w:t>
      </w:r>
    </w:p>
    <w:p>
      <w:pPr>
        <w:pStyle w:val="CompactBullet"/>
      </w:pPr>
      <w:r>
        <w:t>Strengthen Medicaid eligibility integrity, managed-care accountability, provider fraud prevention, improper-payment recovery, and a long-term objective of reducing preventable fraud, waste, abuse, billing errors, and improper payments by as much as 90 percent where achievable.</w:t>
      </w:r>
    </w:p>
    <w:p>
      <w:pPr>
        <w:pStyle w:val="CompactBullet"/>
      </w:pPr>
      <w:r>
        <w:t>Reform PBMs, prescription purchasing, hospital pricing, provider reimbursement, healthcare consolidation, medical billing, medical debt, long-term care, hospice, patient safety, and professional accountability.</w:t>
      </w:r>
    </w:p>
    <w:p>
      <w:pPr>
        <w:pStyle w:val="CompactBullet"/>
      </w:pPr>
      <w:r>
        <w:t>Rebuild behavioral-health, psychiatric, rural, community, emergency, maternity, primary-care, specialist, and healthcare-workforce capacity while protecting patient choice and local access.</w:t>
      </w:r>
    </w:p>
    <w:p>
      <w:pPr>
        <w:pStyle w:val="CompactBullet"/>
      </w:pPr>
      <w:r>
        <w:t>Modernize medical records, require digitization of lawfully retained records within five years, strengthen privacy and cybersecurity, expand appropriate telemedicine, and place enforceable guardrails around healthcare artificial intelligence.</w:t>
      </w:r>
    </w:p>
    <w:p>
      <w:pPr>
        <w:pStyle w:val="CompactBullet"/>
      </w:pPr>
      <w:r>
        <w:t>Limit extraordinary public-health powers, preserve due process and privacy, require elected-government oversight of extended emergency restrictions, and prevent administrative rulemaking from recreating powers the Legislature has limited or removed.</w:t>
      </w:r>
    </w:p>
    <w:p>
      <w:pPr>
        <w:pStyle w:val="CompactBullet"/>
      </w:pPr>
      <w:r>
        <w:t>Finance implementation first through government consolidation, elimination of duplication, spending reform, fraud prevention and recovery, contract reform, federal funding, and verified savings before broad new taxation is considered.</w:t>
      </w:r>
    </w:p>
    <w:p>
      <w:pPr>
        <w:pStyle w:val="Heading1"/>
      </w:pPr>
      <w:r>
        <w:t>Core Reform Standards</w:t>
      </w:r>
    </w:p>
    <w:p>
      <w:pPr>
        <w:pStyle w:val="CompactBullet"/>
      </w:pPr>
      <w:r>
        <w:t>Treat the problem, not merely manage it.</w:t>
      </w:r>
    </w:p>
    <w:p>
      <w:pPr>
        <w:pStyle w:val="CompactBullet"/>
      </w:pPr>
      <w:r>
        <w:t>Coverage is not affordability. The real cost to patients, families, employers, providers, and taxpayers must be measured.</w:t>
      </w:r>
    </w:p>
    <w:p>
      <w:pPr>
        <w:pStyle w:val="CompactBullet"/>
      </w:pPr>
      <w:r>
        <w:t>Total Episode and Long-Term Cost: short-term denials or delays are not savings when they predictably create greater long-term illness, disability, hospitalization, or cost.</w:t>
      </w:r>
    </w:p>
    <w:p>
      <w:pPr>
        <w:pStyle w:val="CompactBullet"/>
      </w:pPr>
      <w:r>
        <w:t>Public money requires public accountability. Contractors, managed-care organizations, healthcare corporations, providers receiving public money, and government agencies must be measurable and auditable.</w:t>
      </w:r>
    </w:p>
    <w:p>
      <w:pPr>
        <w:pStyle w:val="CompactBullet"/>
      </w:pPr>
      <w:r>
        <w:t>Statewide enforceable standards should coexist with regional and local delivery flexibility where local solutions work better.</w:t>
      </w:r>
    </w:p>
    <w:p>
      <w:pPr>
        <w:pStyle w:val="CompactBullet"/>
      </w:pPr>
      <w:r>
        <w:t>Taxpayers come first in financing. Government must reduce duplication, waste, unnecessary administration, fraud, improper payments, and failed contracts before asking for broad new revenue.</w:t>
      </w:r>
    </w:p>
    <w:p>
      <w:pPr>
        <w:pStyle w:val="Heading1"/>
      </w:pPr>
      <w:r>
        <w:t>Table of Contents</w:t>
      </w:r>
    </w:p>
    <w:p>
      <w:pPr/>
      <w:r>
        <w:t>1. Part 1 - Purpose, Governing Principles, Scope, and Measurable Goals</w:t>
      </w:r>
    </w:p>
    <w:p>
      <w:pPr/>
      <w:r>
        <w:t>2. Part 2 - Medicaid Eligibility, Enrollment Integrity, Coverage Continuity, and Personal Responsibility</w:t>
      </w:r>
    </w:p>
    <w:p>
      <w:pPr/>
      <w:r>
        <w:t>3. Part 3 - Medicaid Fraud Prevention, Provider Integrity, Managed-Care Accountability, and Recovery of Public Funds</w:t>
      </w:r>
    </w:p>
    <w:p>
      <w:pPr/>
      <w:r>
        <w:t>4. Part 4 - Private and Employer-Sponsored Insurance Affordability, Patient Access, Medical Necessity, Prior Authorization, and Consumer Protection</w:t>
      </w:r>
    </w:p>
    <w:p>
      <w:pPr/>
      <w:r>
        <w:t>5. Part 5 - Prescription Drug Affordability, Pharmacy Benefit Manager Reform, Pharmacy Access, State Purchasing Power, and GLP-1 Treatment Policy</w:t>
      </w:r>
    </w:p>
    <w:p>
      <w:pPr/>
      <w:r>
        <w:t>6. Part 6 - Hospital, Provider, and Procedure Pricing, Healthcare Market Competition, and Fair Reimbursement</w:t>
      </w:r>
    </w:p>
    <w:p>
      <w:pPr/>
      <w:r>
        <w:t>7. Part 7 - Medical Billing, Medical Debt, Collections, Credit Protection, Financial Assistance, and Patient Financial Security</w:t>
      </w:r>
    </w:p>
    <w:p>
      <w:pPr/>
      <w:r>
        <w:t>8. Part 8 - Mental Health, State Psychiatric Institutions, Crisis Response, Forensic Treatment, Substance-Use Recovery, and Behavioral-Health Accountability</w:t>
      </w:r>
    </w:p>
    <w:p>
      <w:pPr/>
      <w:r>
        <w:t>9. Part 9 - Healthcare Workforce, Rural and Community Access, Primary Care, Emergency Services, and Essential Healthcare Capacity</w:t>
      </w:r>
    </w:p>
    <w:p>
      <w:pPr/>
      <w:r>
        <w:t>10. Part 10 - Long-Term Care, Nursing Homes, Home and Community-Based Services, Aging, Disability, and Family Caregiver Support</w:t>
      </w:r>
    </w:p>
    <w:p>
      <w:pPr/>
      <w:r>
        <w:t>11. Part 11 - Hospice, Palliative Care, Advance Directives, End-of-Life Care, and Patient Decision-Making</w:t>
      </w:r>
    </w:p>
    <w:p>
      <w:pPr/>
      <w:r>
        <w:t>12. Part 12 - Medical Malpractice, Patient Safety, Licensing, Provider Accountability, and Compensation for Preventable Harm</w:t>
      </w:r>
    </w:p>
    <w:p>
      <w:pPr/>
      <w:r>
        <w:t>13. Part 13 - Public Health, Infectious Disease, Emergency Powers, Vaccination Policy, Data Privacy, and Government Health Authority</w:t>
      </w:r>
    </w:p>
    <w:p>
      <w:pPr/>
      <w:r>
        <w:t>14. Part 14 - Health Information, Medical Records, Telemedicine, Artificial Intelligence, Cybersecurity, and Patient Data Rights</w:t>
      </w:r>
    </w:p>
    <w:p>
      <w:pPr/>
      <w:r>
        <w:t>15. Part 15 - Prevention, Chronic Disease, Nutrition, Obesity, Screening, and Population Health</w:t>
      </w:r>
    </w:p>
    <w:p>
      <w:pPr/>
      <w:r>
        <w:t>16. Part 16 - Healthcare Administration, Agency Structure, Appeals, Enforcement, Fraud Coordination, and Government Accountability</w:t>
      </w:r>
    </w:p>
    <w:p>
      <w:pPr/>
      <w:r>
        <w:t>17. Part 17 - Funding, Federal Waivers, Implementation, Transition, Legal Authority, Constitutional Safeguards, and Final Integration</w:t>
      </w:r>
    </w:p>
    <w:p>
      <w:pPr>
        <w:pStyle w:val="Heading1"/>
      </w:pPr>
      <w:r>
        <w:t>Part 1 - Purpose, Governing Principles, Scope, and Measurable Goals</w:t>
      </w:r>
    </w:p>
    <w:p>
      <w:pPr/>
      <w:r>
        <w:t>This reform establishes a statewide healthcare framework focused on affordability, access, patient protection, root-cause care, public accountability, and measurable long-term outcomes across private insurance, employer coverage, Medicaid, public programs, uninsured and underinsured patients, and areas of healthcare subject to Pennsylvania authority.</w:t>
      </w:r>
    </w:p>
    <w:p>
      <w:pPr>
        <w:pStyle w:val="Heading2"/>
      </w:pPr>
      <w:r>
        <w:t>Approved Policy Provisions</w:t>
      </w:r>
    </w:p>
    <w:p>
      <w:pPr>
        <w:pStyle w:val="CompactBullet"/>
      </w:pPr>
      <w:r>
        <w:t>The governing principle is: Treat the problem, not merely manage it. Healthcare policy should favor accurate diagnosis, early intervention, coordinated definitive treatment, rehabilitation, recovery, prevention, and long-term function where medically possible.</w:t>
      </w:r>
    </w:p>
    <w:p>
      <w:pPr>
        <w:pStyle w:val="CompactBullet"/>
      </w:pPr>
      <w:r>
        <w:t>Coverage is not the same as affordability. Premiums, deductibles, copays, coinsurance, prescription costs, hospital bills, provider access, network access, and total household burden must all be considered.</w:t>
      </w:r>
    </w:p>
    <w:p>
      <w:pPr>
        <w:pStyle w:val="CompactBullet"/>
      </w:pPr>
      <w:r>
        <w:t>Treating-provider clinical judgment receives meaningful protection, and short-term claim savings cannot be treated as success when delayed diagnosis or treatment creates greater downstream illness, disability, hospitalization, or cost.</w:t>
      </w:r>
    </w:p>
    <w:p>
      <w:pPr>
        <w:pStyle w:val="CompactBullet"/>
      </w:pPr>
      <w:r>
        <w:t>The reform preserves a mixed healthcare system while establishing enforceable statewide standards, regional and local delivery flexibility, patient choice, public accountability, and protections for honest providers.</w:t>
      </w:r>
    </w:p>
    <w:p>
      <w:pPr>
        <w:pStyle w:val="CompactBullet"/>
      </w:pPr>
      <w:r>
        <w:t>Medicaid remains a safety net for legitimate need while fraud, waste, abuse, billing errors, improper payments, contractor failures, and avoidable administrative costs are aggressively reduced.</w:t>
      </w:r>
    </w:p>
    <w:p>
      <w:pPr>
        <w:pStyle w:val="CompactBullet"/>
      </w:pPr>
      <w:r>
        <w:t>Public money requires public accountability, and taxpayer funding must be protected from hidden cost shifts to counties, municipalities, school districts, employers, small businesses, local emergency services, patients, or future taxpayers.</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2 - Medicaid Eligibility, Enrollment Integrity, Coverage Continuity, and Personal Responsibility</w:t>
      </w:r>
    </w:p>
    <w:p>
      <w:pPr/>
      <w:r>
        <w:t>Medicaid should protect people who genuinely need help without becoming a system in which eligibility errors, administrative gaps, or fraud are ignored. This Part expands practical access where justified while strengthening verification, transition rules, personal responsibility, and program integrity.</w:t>
      </w:r>
    </w:p>
    <w:p>
      <w:pPr>
        <w:pStyle w:val="Heading2"/>
      </w:pPr>
      <w:r>
        <w:t>Approved Policy Provisions</w:t>
      </w:r>
    </w:p>
    <w:p>
      <w:pPr>
        <w:pStyle w:val="CompactBullet"/>
      </w:pPr>
      <w:r>
        <w:t>Eligibility uses tiered pathways, with priority for children, pregnancy and postpartum care, seniors, people with verified disabilities, medically fragile patients, long-term-care needs, working families, serious medical conditions, and people just above traditional limits who still cannot afford coverage.</w:t>
      </w:r>
    </w:p>
    <w:p>
      <w:pPr>
        <w:pStyle w:val="CompactBullet"/>
      </w:pPr>
      <w:r>
        <w:t>Pennsylvania may pursue moderate eligibility expansion, medically needy pathways, spend-down options, premium tiers, Medicare Savings coordination, and a limited Medicaid buy-in above full-benefit limits where fiscally and federally lawful.</w:t>
      </w:r>
    </w:p>
    <w:p>
      <w:pPr>
        <w:pStyle w:val="CompactBullet"/>
      </w:pPr>
      <w:r>
        <w:t>Short-term wage increases, overtime, seasonal work, and irregular income should not create abrupt coverage loss. Transitional coverage, averaged income, gradual contributions, and coordination with employer coverage or Pennie are used where appropriate.</w:t>
      </w:r>
    </w:p>
    <w:p>
      <w:pPr>
        <w:pStyle w:val="CompactBullet"/>
      </w:pPr>
      <w:r>
        <w:t>Eligibility and asset rules are modernized with reasonable protections for homes, vehicles, retirement, emergencies, family farms, viable small businesses, spouses, dependents, and genuine hardship while preserving strong anti-concealment rules for long-term care.</w:t>
      </w:r>
    </w:p>
    <w:p>
      <w:pPr>
        <w:pStyle w:val="CompactBullet"/>
      </w:pPr>
      <w:r>
        <w:t>Work or responsibility requirements may be used where lawful and realistically available, with legitimate barriers and serious functional limitations considered. Self-diagnosis or unsupported claims are not enough to create exemptions.</w:t>
      </w:r>
    </w:p>
    <w:p>
      <w:pPr>
        <w:pStyle w:val="CompactBullet"/>
      </w:pPr>
      <w:r>
        <w:t>A 24-hour Pennsylvania death-notification standard supports prompt Medicaid eligibility closure and daily data matching, while legitimate pre-death claims remain payable and uncertain matches receive human review and rapid correction.</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3 - Medicaid Fraud Prevention, Provider Integrity, Managed-Care Accountability, and Recovery of Public Funds</w:t>
      </w:r>
    </w:p>
    <w:p>
      <w:pPr/>
      <w:r>
        <w:t>Medicaid integrity must prevent improper payments before they leave the system, recover public money when misconduct occurs, protect honest providers, and require contractors and managed-care organizations to prove that they deliver measurable value.</w:t>
      </w:r>
    </w:p>
    <w:p>
      <w:pPr>
        <w:pStyle w:val="Heading2"/>
      </w:pPr>
      <w:r>
        <w:t>Approved Policy Provisions</w:t>
      </w:r>
    </w:p>
    <w:p>
      <w:pPr>
        <w:pStyle w:val="CompactBullet"/>
      </w:pPr>
      <w:r>
        <w:t>An independent Pennsylvania Medicaid Integrity Office is separated from ordinary contract and payment operations, with conflict safeguards, fixed leadership protections, risk-based screening, and authority covering entities that receive, control, process, direct, or benefit from Medicaid funds.</w:t>
      </w:r>
    </w:p>
    <w:p>
      <w:pPr>
        <w:pStyle w:val="CompactBullet"/>
      </w:pPr>
      <w:r>
        <w:t>Prepayment analytics, targeted audits, ownership review, related-party review, digital records, payment-suspension due process, proportional recovery, clawbacks, whistleblower protection, and organized-fraud enforcement are used to stop improper payments without blocking necessary patient care.</w:t>
      </w:r>
    </w:p>
    <w:p>
      <w:pPr>
        <w:pStyle w:val="CompactBullet"/>
      </w:pPr>
      <w:r>
        <w:t>Managed-care organizations, behavioral-health managed-care entities, and Community HealthChoices contractors must prove that they lower cost or improve care compared with viable state, nonprofit, regional, or alternative delivery models. Failing models can be replaced by region or service rather than automatically renewed.</w:t>
      </w:r>
    </w:p>
    <w:p>
      <w:pPr>
        <w:pStyle w:val="CompactBullet"/>
      </w:pPr>
      <w:r>
        <w:t>Major Medicaid contractors, PBMs, high-risk providers, and related entities face continuous monitoring and comprehensive audits, including administrative cost, executive compensation, capitation reconciliation, patient-care spending, affiliate transactions, and fair-market-value review.</w:t>
      </w:r>
    </w:p>
    <w:p>
      <w:pPr>
        <w:pStyle w:val="CompactBullet"/>
      </w:pPr>
      <w:r>
        <w:t>The long-term objective is to reduce preventable fraud, waste, abuse, billing errors, and improper payments by as much as 90 percent where achievable, while reporting categories separately so ordinary errors are not mislabeled as fraud.</w:t>
      </w:r>
    </w:p>
    <w:p>
      <w:pPr>
        <w:pStyle w:val="CompactBullet"/>
      </w:pPr>
      <w:r>
        <w:t>The 24-hour death-reporting framework is integrated into capitation, fee-for-service, prescription, nursing, home-care, behavioral-health, transport, equipment, and telehealth payment controls to prevent or recover post-death payments.</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4 - Private and Employer-Sponsored Insurance Affordability, Patient Access, Medical Necessity, Prior Authorization, and Consumer Protection</w:t>
      </w:r>
    </w:p>
    <w:p>
      <w:pPr/>
      <w:r>
        <w:t>Private insurance should pay for medically necessary care rather than create administrative obstacles that delay diagnosis, force unnecessary prerequisites, or make an insurance card unusable because the patient cannot afford or access treatment.</w:t>
      </w:r>
    </w:p>
    <w:p>
      <w:pPr>
        <w:pStyle w:val="Heading2"/>
      </w:pPr>
      <w:r>
        <w:t>Approved Policy Provisions</w:t>
      </w:r>
    </w:p>
    <w:p>
      <w:pPr>
        <w:pStyle w:val="CompactBullet"/>
      </w:pPr>
      <w:r>
        <w:t>Pennsylvania-regulated plans face stronger premium review, public cost-driver disclosure, patient-care spending standards, scrutiny of excessive administrative or affiliate costs, standardized plan options, and targeted reinsurance only when measurable consumer benefit is demonstrated.</w:t>
      </w:r>
    </w:p>
    <w:p>
      <w:pPr>
        <w:pStyle w:val="CompactBullet"/>
      </w:pPr>
      <w:r>
        <w:t>The treating provider receives a strong rebuttable presumption of medical necessity. Final clinical denials must be made by a qualified human clinician in the same or closely related specialty when specialized expertise is required; nonclinical personnel and AI may assist but cannot issue the final denial.</w:t>
      </w:r>
    </w:p>
    <w:p>
      <w:pPr>
        <w:pStyle w:val="CompactBullet"/>
      </w:pPr>
      <w:r>
        <w:t>Prior authorization is narrowed for emergency care, common diagnostics, routine laboratory and preventive care, appropriately ordered CT or MRI, follow-up testing, chronic monitoring, established ongoing care, and other services where authorization creates more administrative cost or patient risk than value.</w:t>
      </w:r>
    </w:p>
    <w:p>
      <w:pPr>
        <w:pStyle w:val="CompactBullet"/>
      </w:pPr>
      <w:r>
        <w:t>Insurers may not force weeks or months of physical therapy, chiropractic treatment, injections, repeated medication trials, or other conservative care solely to unlock medically appropriate imaging, specialist evaluation, or diagnostic testing.</w:t>
      </w:r>
    </w:p>
    <w:p>
      <w:pPr>
        <w:pStyle w:val="CompactBullet"/>
      </w:pPr>
      <w:r>
        <w:t>Urgent reviews generally target 24 hours, routine reviews three business days, and complex reviews no more than five business days, with temporary or automatic approval when legally established deadlines are missed. Gold-card systems and streamlined authorization reward reliable providers.</w:t>
      </w:r>
    </w:p>
    <w:p>
      <w:pPr>
        <w:pStyle w:val="CompactBullet"/>
      </w:pPr>
      <w:r>
        <w:t>Pennsylvania Universal Open Provider Access allows qualified providers meeting transparent reimbursement, credentialing, safety, and integrity standards to treat regulated-plan members without artificial network exclusion or higher patient cost-sharing merely because the provider is traditionally labeled out-of-network.</w:t>
      </w:r>
    </w:p>
    <w:p>
      <w:pPr>
        <w:pStyle w:val="CompactBullet"/>
      </w:pPr>
      <w:r>
        <w:t>Patients receive continuity-of-care protections, real provider directories, second opinions, meaningful appeals and external review, direct specialist access where referral adds no value, and protection against incentives that reward withholding necessary care.</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5 - Prescription Drug Affordability, Pharmacy Benefit Manager Reform, Pharmacy Access, State Purchasing Power, and GLP-1 Treatment Policy</w:t>
      </w:r>
    </w:p>
    <w:p>
      <w:pPr/>
      <w:r>
        <w:t>Prescription affordability requires reforming the price, rebate, PBM, pharmacy, purchasing, and coverage systems together rather than shifting costs among patients, pharmacies, employers, insurers, and taxpayers.</w:t>
      </w:r>
    </w:p>
    <w:p>
      <w:pPr>
        <w:pStyle w:val="Heading2"/>
      </w:pPr>
      <w:r>
        <w:t>Approved Policy Provisions</w:t>
      </w:r>
    </w:p>
    <w:p>
      <w:pPr>
        <w:pStyle w:val="CompactBullet"/>
      </w:pPr>
      <w:r>
        <w:t>PBM spread pricing is prohibited, manufacturer rebates and discounts must benefit patients, premiums, or taxpayers, and PBM compensation should be transparent and structured to avoid incentives tied to higher list prices, rebate volume, or pharmacy underpayment.</w:t>
      </w:r>
    </w:p>
    <w:p>
      <w:pPr>
        <w:pStyle w:val="CompactBullet"/>
      </w:pPr>
      <w:r>
        <w:t>Formularies must prioritize clinical effectiveness, safety, medical necessity, and real net cost rather than hidden rebate incentives. Stable patients receive protections against nonmedical switching, and step-therapy or prior-authorization barriers are narrowed and time-limited.</w:t>
      </w:r>
    </w:p>
    <w:p>
      <w:pPr>
        <w:pStyle w:val="CompactBullet"/>
      </w:pPr>
      <w:r>
        <w:t>Pennsylvania may use a Prescription Purchasing Cooperative, direct negotiations, supplemental rebates, volume purchasing, outcomes-based agreements, and other lawful purchasing strategies while preserving federal Medicaid rebates and matching funds.</w:t>
      </w:r>
    </w:p>
    <w:p>
      <w:pPr>
        <w:pStyle w:val="CompactBullet"/>
      </w:pPr>
      <w:r>
        <w:t>Independent and community pharmacies receive protection against arbitrary clawbacks, retroactive fees, steering to affiliated pharmacies, ownership-based mail-order mandates, and reimbursement below verified acquisition cost plus a reasonable dispensing fee, with special attention to rural and high-need areas.</w:t>
      </w:r>
    </w:p>
    <w:p>
      <w:pPr>
        <w:pStyle w:val="CompactBullet"/>
      </w:pPr>
      <w:r>
        <w:t>Major unjustified drug-price increases face notice, disclosure, independent review, and stronger state action where lawful. Essential and life-sustaining drugs receive enhanced affordability protections.</w:t>
      </w:r>
    </w:p>
    <w:p>
      <w:pPr>
        <w:pStyle w:val="CompactBullet"/>
      </w:pPr>
      <w:r>
        <w:t>Obesity and metabolic disease are recognized as legitimate medical conditions. Medicaid and regulated private coverage should not impose blanket exclusions on medically necessary GLP-1, dual-incretin, multi-incretin, or successor therapies, and treatment is not restricted by arbitrary BMI-only or lifestyle fail-first rules.</w:t>
      </w:r>
    </w:p>
    <w:p>
      <w:pPr>
        <w:pStyle w:val="CompactBullet"/>
      </w:pPr>
      <w:r>
        <w:t>GLP-1 continuation, bariatric surgery, lifestyle treatment, and long-term metabolic care remain individualized. Neither medication nor surgery must automatically fail before the other, and arbitrary forced treatment interruptions are prohibited.</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6 - Hospital, Provider, and Procedure Pricing, Healthcare Market Competition, and Fair Reimbursement</w:t>
      </w:r>
    </w:p>
    <w:p>
      <w:pPr/>
      <w:r>
        <w:t>Healthcare pricing must be understandable to patients, fair to providers, resistant to monopoly abuse, and capable of preserving essential rural, trauma, teaching, independent, and high-acuity healthcare capacity.</w:t>
      </w:r>
    </w:p>
    <w:p>
      <w:pPr>
        <w:pStyle w:val="Heading2"/>
      </w:pPr>
      <w:r>
        <w:t>Approved Policy Provisions</w:t>
      </w:r>
    </w:p>
    <w:p>
      <w:pPr>
        <w:pStyle w:val="CompactBullet"/>
      </w:pPr>
      <w:r>
        <w:t>Patients receive meaningful price comparison information showing negotiated, cash, benchmark, and expected out-of-pocket costs where practical, and scheduled care receives binding good-faith estimates subject to narrow unforeseen or extraordinary exceptions.</w:t>
      </w:r>
    </w:p>
    <w:p>
      <w:pPr>
        <w:pStyle w:val="CompactBullet"/>
      </w:pPr>
      <w:r>
        <w:t>Fair-rate corridors establish payment floors, benchmarks, and ceilings using Medicare, verified cost, commercial rates, labor, geography, complexity, rural needs, trauma readiness, teaching, shortage conditions, and patient acuity rather than one blunt statewide number.</w:t>
      </w:r>
    </w:p>
    <w:p>
      <w:pPr>
        <w:pStyle w:val="CompactBullet"/>
      </w:pPr>
      <w:r>
        <w:t>Routine off-campus facility fees and unjustified site-based price differences are restricted, while legitimate readiness, complexity, emergency, trauma, and hospital-level infrastructure costs may receive justified adjustments.</w:t>
      </w:r>
    </w:p>
    <w:p>
      <w:pPr>
        <w:pStyle w:val="CompactBullet"/>
      </w:pPr>
      <w:r>
        <w:t>Uninsured and underinsured patients receive fair-price and hardship protections instead of automatic chargemaster billing, and financial-assistance screening is integrated with billing protections.</w:t>
      </w:r>
    </w:p>
    <w:p>
      <w:pPr>
        <w:pStyle w:val="CompactBullet"/>
      </w:pPr>
      <w:r>
        <w:t>Major hospital, insurer, physician, private-equity, and vertically integrated healthcare transactions receive competition and public-interest review, including ownership, debt, management fees, sale-leasebacks, related-party arrangements, and risks to independent practice or patient access.</w:t>
      </w:r>
    </w:p>
    <w:p>
      <w:pPr>
        <w:pStyle w:val="CompactBullet"/>
      </w:pPr>
      <w:r>
        <w:t>A Pennsylvania All-Payer Claims and Healthcare Cost Database supports cost analysis, market oversight, public pricing, and total-episode evaluation while protecting patient privacy.</w:t>
      </w:r>
    </w:p>
    <w:p>
      <w:pPr>
        <w:pStyle w:val="CompactBullet"/>
      </w:pPr>
      <w:r>
        <w:t>Provider-contract disputes and network arrangements cannot be shifted onto patients. Open Provider Access reimbursement uses the fair-rate system and independent dispute resolution while preserving medically necessary care.</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7 - Medical Billing, Medical Debt, Collections, Credit Protection, Financial Assistance, and Patient Financial Security</w:t>
      </w:r>
    </w:p>
    <w:p>
      <w:pPr/>
      <w:r>
        <w:t>Medical debt is a legitimate financial obligation when accurately owed, but illness should not give providers, debt buyers, or collectors unlimited power to destroy a family's credit, home, basic assets, or ability to obtain future care.</w:t>
      </w:r>
    </w:p>
    <w:p>
      <w:pPr>
        <w:pStyle w:val="Heading2"/>
      </w:pPr>
      <w:r>
        <w:t>Approved Policy Provisions</w:t>
      </w:r>
    </w:p>
    <w:p>
      <w:pPr>
        <w:pStyle w:val="CompactBullet"/>
      </w:pPr>
      <w:r>
        <w:t>Patients receive understandable bills, free itemization, prompt correction of errors, automatic refunds or credits where appropriate, centralized dispute access, and a pause on collection while valid insurance, billing, financial-assistance, or legal disputes are pending.</w:t>
      </w:r>
    </w:p>
    <w:p>
      <w:pPr>
        <w:pStyle w:val="CompactBullet"/>
      </w:pPr>
      <w:r>
        <w:t>Providers must offer reasonable income-based payment plans, with compliant plans generally interest-free and collection delayed until a valid final bill, insurance resolution, required notices, assistance screening, and reasonable payment opportunities have occurred.</w:t>
      </w:r>
    </w:p>
    <w:p>
      <w:pPr>
        <w:pStyle w:val="CompactBullet"/>
      </w:pPr>
      <w:r>
        <w:t>Pennsylvania medical debt receives the maximum lawful credit protection, including restrictions on furnishing, scoring, or using medical debt for unrelated lending or housing decisions where state authority permits.</w:t>
      </w:r>
    </w:p>
    <w:p>
      <w:pPr>
        <w:pStyle w:val="CompactBullet"/>
      </w:pPr>
      <w:r>
        <w:t>Owner-occupied primary residences are protected from medical-debt liens or forced sale, and essential vehicles, household property, disability equipment, work tools, retirement assets, emergency savings, and other basic-needs property receive appropriate safeguards.</w:t>
      </w:r>
    </w:p>
    <w:p>
      <w:pPr>
        <w:pStyle w:val="CompactBullet"/>
      </w:pPr>
      <w:r>
        <w:t>Debt buyers must prove ownership, validate the debt, disclose purchase-price information where required, preserve existing payment arrangements, honor payments made to the original provider, and comply with tiered recovery ceilings that prevent buying debt for pennies and demanding unlimited returns.</w:t>
      </w:r>
    </w:p>
    <w:p>
      <w:pPr>
        <w:pStyle w:val="CompactBullet"/>
      </w:pPr>
      <w:r>
        <w:t>Collectors and buyers may not add interest merely because a medical account was sold, threaten nonexistent criminal or government action, use false legal documents, reset limitations periods through resale, or pressure surviving family members who are not legally responsible.</w:t>
      </w:r>
    </w:p>
    <w:p>
      <w:pPr>
        <w:pStyle w:val="CompactBullet"/>
      </w:pPr>
      <w:r>
        <w:t>Spousal liability is narrowed so medical debt is primarily the patient's obligation unless the spouse independently agreed or a limited lawful secondary obligation is established, with strong protection for the nonpatient spouse's exempt assets and household stability.</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8 - Mental Health, State Psychiatric Institutions, Crisis Response, Forensic Treatment, Substance-Use Recovery, and Behavioral-Health Accountability</w:t>
      </w:r>
    </w:p>
    <w:p>
      <w:pPr/>
      <w:r>
        <w:t>Pennsylvania needs a complete behavioral-health system that provides real treatment capacity, protects due process, separates civil and forensic needs, and stops relying on emergency rooms, jails, police, and short-term crisis holds as substitutes for sustained care.</w:t>
      </w:r>
    </w:p>
    <w:p>
      <w:pPr>
        <w:pStyle w:val="Heading2"/>
      </w:pPr>
      <w:r>
        <w:t>Approved Policy Provisions</w:t>
      </w:r>
    </w:p>
    <w:p>
      <w:pPr>
        <w:pStyle w:val="CompactBullet"/>
      </w:pPr>
      <w:r>
        <w:t>Existing state psychiatric hospitals are modernized and expanded where justified, appropriate former campuses may be reopened, and smaller regional facilities may be developed through a hub-and-spoke system with separate civil and forensic capacity where practical.</w:t>
      </w:r>
    </w:p>
    <w:p>
      <w:pPr>
        <w:pStyle w:val="CompactBullet"/>
      </w:pPr>
      <w:r>
        <w:t>Involuntary treatment standards focus on serious mental illness, substantial risk of serious harm, severe deterioration, or grave disability, with counsel, evidence, judicial review, recurring reassessment, and no commitment based merely on poverty, eccentricity, diagnosis, or treatment refusal.</w:t>
      </w:r>
    </w:p>
    <w:p>
      <w:pPr>
        <w:pStyle w:val="CompactBullet"/>
      </w:pPr>
      <w:r>
        <w:t>Regional crisis stabilization, mobile response, secure nonpunitive transport, crisis-intervention training, real-time bed coordination, step-down care, supervised residential options, partial hospitalization, intensive outpatient care, supportive housing, and discharge planning are strengthened.</w:t>
      </w:r>
    </w:p>
    <w:p>
      <w:pPr>
        <w:pStyle w:val="CompactBullet"/>
      </w:pPr>
      <w:r>
        <w:t>For safety, law enforcement may secure a behavioral crisis scene before clinicians initiate direct in-person contact when circumstances reasonably require it; once the scene is secured, clinicians lead the clinical assessment where practical and the patient is not automatically treated as a criminal.</w:t>
      </w:r>
    </w:p>
    <w:p>
      <w:pPr>
        <w:pStyle w:val="CompactBullet"/>
      </w:pPr>
      <w:r>
        <w:t>Forensic treatment, competency restoration, and jail diversion are expanded for appropriate cases while preserving secure treatment, prosecution, victim protection, and public-safety safeguards for serious violence or predatory conduct.</w:t>
      </w:r>
    </w:p>
    <w:p>
      <w:pPr>
        <w:pStyle w:val="CompactBullet"/>
      </w:pPr>
      <w:r>
        <w:t>Substance-use treatment includes evidence-supported medication-assisted treatment and recovery services, but substance-use disorder alone is not a basis for involuntary commitment absent an independent lawful emergency or mental-health standard.</w:t>
      </w:r>
    </w:p>
    <w:p>
      <w:pPr>
        <w:pStyle w:val="CompactBullet"/>
      </w:pPr>
      <w:r>
        <w:t>Public behavioral-health accountability includes staffing, bed capacity, waits, outcomes, facility safety, complaints, contractor performance, and privacy-protected dashboards.</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9 - Healthcare Workforce, Rural and Community Access, Primary Care, Emergency Services, and Essential Healthcare Capacity</w:t>
      </w:r>
    </w:p>
    <w:p>
      <w:pPr/>
      <w:r>
        <w:t>Healthcare access should be measured by whether people can actually obtain needed care, not merely whether a county has a facility on a map. This Part protects essential services, builds the workforce, and creates alternatives when traditional delivery models fail.</w:t>
      </w:r>
    </w:p>
    <w:p>
      <w:pPr>
        <w:pStyle w:val="Heading2"/>
      </w:pPr>
      <w:r>
        <w:t>Approved Policy Provisions</w:t>
      </w:r>
    </w:p>
    <w:p>
      <w:pPr>
        <w:pStyle w:val="CompactBullet"/>
      </w:pPr>
      <w:r>
        <w:t>Pennsylvania Healthcare Access Shortage and Essential Healthcare Service designations use provider supply, travel distance, wait times, emergency capacity, maternity access, diagnostic access, utilization, and other measurable factors rather than political geography alone.</w:t>
      </w:r>
    </w:p>
    <w:p>
      <w:pPr>
        <w:pStyle w:val="CompactBullet"/>
      </w:pPr>
      <w:r>
        <w:t>Hospitals and essential services may receive stabilization grants, loans, readiness payments, global-budget or restructuring support only after viability review, financial transparency, accountability, and a plan showing why assistance preserves necessary care rather than failed management.</w:t>
      </w:r>
    </w:p>
    <w:p>
      <w:pPr>
        <w:pStyle w:val="CompactBullet"/>
      </w:pPr>
      <w:r>
        <w:t>Communities may receive support to develop nonprofit, regional, cooperative, authority-based, or community-owned healthcare systems when private delivery fails, with professional management, independent audits, procurement rules, anti-nepotism protections, conflict disclosure, and sustainability requirements.</w:t>
      </w:r>
    </w:p>
    <w:p>
      <w:pPr>
        <w:pStyle w:val="CompactBullet"/>
      </w:pPr>
      <w:r>
        <w:t>Telemedicine may supplement specialist, stroke, trauma, follow-up, behavioral-health, and other services but does not replace necessary physical emergency departments, hands-on examinations, diagnostic capacity, or local healthcare infrastructure.</w:t>
      </w:r>
    </w:p>
    <w:p>
      <w:pPr>
        <w:pStyle w:val="CompactBullet"/>
      </w:pPr>
      <w:r>
        <w:t>A five-, ten-, and twenty-year workforce strategy addresses physicians, nurses, nursing faculty, specialists, EMS, pharmacists, dentists, allied health professionals, residency capacity, education bottlenecks, interstate compacts, and carefully supervised international-physician pathways.</w:t>
      </w:r>
    </w:p>
    <w:p>
      <w:pPr>
        <w:pStyle w:val="CompactBullet"/>
      </w:pPr>
      <w:r>
        <w:t>Service-linked scholarships, training pipelines, licensing modernization, reduced administrative burdens, sharply limited healthcare noncompetes, safe staffing, workplace-violence protections, and fair reimbursement are used to recruit and retain healthcare workers.</w:t>
      </w:r>
    </w:p>
    <w:p>
      <w:pPr>
        <w:pStyle w:val="CompactBullet"/>
      </w:pPr>
      <w:r>
        <w:t>EMS is treated as both healthcare and public-safety infrastructure, with fair reimbursement, readiness support, community paramedicine, nonemergency transport, and regional coordination.</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10 - Long-Term Care, Nursing Homes, Home and Community-Based Services, Aging, Disability, and Family Caregiver Support</w:t>
      </w:r>
    </w:p>
    <w:p>
      <w:pPr/>
      <w:r>
        <w:t>Pennsylvanians should receive long-term care in the least restrictive safe setting that meets their needs, with real choice, stronger home and community-based services, transparent nursing-home ownership, and accountability for public money and resident safety.</w:t>
      </w:r>
    </w:p>
    <w:p>
      <w:pPr>
        <w:pStyle w:val="Heading2"/>
      </w:pPr>
      <w:r>
        <w:t>Approved Policy Provisions</w:t>
      </w:r>
    </w:p>
    <w:p>
      <w:pPr>
        <w:pStyle w:val="CompactBullet"/>
      </w:pPr>
      <w:r>
        <w:t>Home and community-based services receive a strong presumption when they are safe, clinically appropriate, and provide equal or better value, with faster transitions out of institutions and no unnecessary institutionalization caused solely by administrative delay.</w:t>
      </w:r>
    </w:p>
    <w:p>
      <w:pPr>
        <w:pStyle w:val="CompactBullet"/>
      </w:pPr>
      <w:r>
        <w:t>Community HealthChoices and other managed long-term-care structures must prove value or face replacement by a state, nonprofit, regional, or alternative model that performs better.</w:t>
      </w:r>
    </w:p>
    <w:p>
      <w:pPr>
        <w:pStyle w:val="CompactBullet"/>
      </w:pPr>
      <w:r>
        <w:t>Self-directed care, paid family caregivers, narrowly defined spouse-care pathways, respite, backup care, home modifications, assistive technology, adult day services, and realistic caregiver support are strengthened with fraud and safety safeguards.</w:t>
      </w:r>
    </w:p>
    <w:p>
      <w:pPr>
        <w:pStyle w:val="CompactBullet"/>
      </w:pPr>
      <w:r>
        <w:t>Nursing homes face minimum staffing requirements with acuity adjustments, public worked-staffing information, ownership and beneficial-interest disclosure, related-party review, private-equity and sale-leaseback scrutiny, direct-care spending accountability, and restrictions on distributions from failing facilities.</w:t>
      </w:r>
    </w:p>
    <w:p>
      <w:pPr>
        <w:pStyle w:val="CompactBullet"/>
      </w:pPr>
      <w:r>
        <w:t>Residents receive a Pennsylvania Long-Term Care Resident Bill of Rights, stronger abuse and neglect reporting, anti-retaliation protections, ombudsman support, restraint restrictions, dementia-care standards, room-camera options subject to consent and privacy, and rapid intervention for dangerous facilities.</w:t>
      </w:r>
    </w:p>
    <w:p>
      <w:pPr>
        <w:pStyle w:val="CompactBullet"/>
      </w:pPr>
      <w:r>
        <w:t>A public Long-Term Care Safety, Complaints and Enforcement Dashboard distinguishes complaints, findings, civil allegations, criminal charges, convictions, dismissals, settlements, corrective actions, ownership, and facility status without treating an accusation as guilt.</w:t>
      </w:r>
    </w:p>
    <w:p>
      <w:pPr>
        <w:pStyle w:val="CompactBullet"/>
      </w:pPr>
      <w:r>
        <w:t>Medicaid estate recovery is limited to the federal minimum required scope where lawful, with maximum hardship protection for spouses, dependents, disabled family members, family farms, viable small businesses, and other protected situations.</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11 - Hospice, Palliative Care, Advance Directives, End-of-Life Care, and Patient Decision-Making</w:t>
      </w:r>
    </w:p>
    <w:p>
      <w:pPr/>
      <w:r>
        <w:t>End-of-life care must respect patient choice, preserve comfort, prevent financial manipulation, and distinguish lawful refusal or withdrawal of treatment from assisted suicide or abandonment of care.</w:t>
      </w:r>
    </w:p>
    <w:p>
      <w:pPr>
        <w:pStyle w:val="Heading2"/>
      </w:pPr>
      <w:r>
        <w:t>Approved Policy Provisions</w:t>
      </w:r>
    </w:p>
    <w:p>
      <w:pPr>
        <w:pStyle w:val="CompactBullet"/>
      </w:pPr>
      <w:r>
        <w:t>Palliative care may begin before a patient is terminal and may continue alongside curative treatment. Patients with serious illness should be offered meaningful information about palliative and hospice options without being pressured toward or away from them for financial reasons.</w:t>
      </w:r>
    </w:p>
    <w:p>
      <w:pPr>
        <w:pStyle w:val="CompactBullet"/>
      </w:pPr>
      <w:r>
        <w:t>Pennsylvania establishes standardized advance-directive, POLST, DNR, surrogate, and decision-making rules, including a voluntary secure electronic registry with patient control, role-based access, revocation rights, and strong privacy protections.</w:t>
      </w:r>
    </w:p>
    <w:p>
      <w:pPr>
        <w:pStyle w:val="CompactBullet"/>
      </w:pPr>
      <w:r>
        <w:t>A DNR means do not resuscitate, not do not treat. Competent adults retain the right to accept or refuse treatment, including artificial nutrition and hydration, while ordinary comfort care and feeding remain appropriate when desired and medically feasible.</w:t>
      </w:r>
    </w:p>
    <w:p>
      <w:pPr>
        <w:pStyle w:val="CompactBullet"/>
      </w:pPr>
      <w:r>
        <w:t>Assisted suicide remains prohibited. Appropriate pain control, withdrawal of unwanted treatment, hospice care, palliative sedation for refractory suffering under strict safeguards, and natural death are distinguished from intentionally causing death.</w:t>
      </w:r>
    </w:p>
    <w:p>
      <w:pPr>
        <w:pStyle w:val="CompactBullet"/>
      </w:pPr>
      <w:r>
        <w:t>Hospice providers face strong ownership, staffing, marketing, discharge-pattern, fraud, related-party, private-equity, and acquisition oversight, including 24/7 clinical access and timely in-person response when needed rather than routine direction to call 911.</w:t>
      </w:r>
    </w:p>
    <w:p>
      <w:pPr>
        <w:pStyle w:val="CompactBullet"/>
      </w:pPr>
      <w:r>
        <w:t>Patients who prefer to die at home should receive strong practical support where medically and safely feasible, including nursing, medication, equipment, caregiver training, after-hours response, respite, and clear discussion when home care is no longer safe.</w:t>
      </w:r>
    </w:p>
    <w:p>
      <w:pPr>
        <w:pStyle w:val="CompactBullet"/>
      </w:pPr>
      <w:r>
        <w:t>Public hospice reporting and facility ratings use due-process labels, verified findings, privacy protection, and safeguards against bought or manipulated ratings.</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12 - Medical Malpractice, Patient Safety, Licensing, Provider Accountability, and Compensation for Preventable Harm</w:t>
      </w:r>
    </w:p>
    <w:p>
      <w:pPr/>
      <w:r>
        <w:t>Patient safety requires fair compensation for genuine preventable harm, protection of good-faith clinical judgment, faster resolution of clear cases, stronger identification of repeated dangerous conduct, and fewer incentives for wasteful defensive medicine.</w:t>
      </w:r>
    </w:p>
    <w:p>
      <w:pPr>
        <w:pStyle w:val="Heading2"/>
      </w:pPr>
      <w:r>
        <w:t>Approved Policy Provisions</w:t>
      </w:r>
    </w:p>
    <w:p>
      <w:pPr>
        <w:pStyle w:val="CompactBullet"/>
      </w:pPr>
      <w:r>
        <w:t>Ordinary malpractice remains based on accepted standards of care and causation. A bad outcome alone does not establish negligence, and good-faith clinical judgment among accepted approaches receives protection.</w:t>
      </w:r>
    </w:p>
    <w:p>
      <w:pPr>
        <w:pStyle w:val="CompactBullet"/>
      </w:pPr>
      <w:r>
        <w:t>Certificate-of-merit requirements, qualified relevant experts, meaningful record access, early neutral review, early settlement opportunities, structured future-care payments where appropriate, and sanctions for knowingly frivolous claims or defenses are used to improve fairness and efficiency.</w:t>
      </w:r>
    </w:p>
    <w:p>
      <w:pPr>
        <w:pStyle w:val="CompactBullet"/>
      </w:pPr>
      <w:r>
        <w:t>There are no arbitrary caps on compensatory or noneconomic damages. Punitive damages remain reserved for truly reckless, willful, wanton, fraudulent, or intentional conduct, with enhanced institutional accountability when leadership knowingly conceals or tolerates dangerous practices.</w:t>
      </w:r>
    </w:p>
    <w:p>
      <w:pPr>
        <w:pStyle w:val="CompactBullet"/>
      </w:pPr>
      <w:r>
        <w:t>Mcare and professional-liability costs receive independent actuarial review, public reporting, and justification. Specialty or geographic differences must be supported by data rather than tradition or political preference.</w:t>
      </w:r>
    </w:p>
    <w:p>
      <w:pPr>
        <w:pStyle w:val="CompactBullet"/>
      </w:pPr>
      <w:r>
        <w:t>Defensive-medicine reform shall not discourage appropriate diagnostics. No patient should be forced through weeks of unnecessary conservative treatment merely to obtain clinically appropriate imaging, testing, or specialist evaluation.</w:t>
      </w:r>
    </w:p>
    <w:p>
      <w:pPr>
        <w:pStyle w:val="CompactBullet"/>
      </w:pPr>
      <w:r>
        <w:t>Serious-event reporting, medical-record audit trails, disclosure of material errors, whistleblower protection, repeat-error intervention, meaningful credentialing, patient-safety analysis, and public professional accountability are strengthened while preserving legitimate peer-review protections.</w:t>
      </w:r>
    </w:p>
    <w:p>
      <w:pPr>
        <w:pStyle w:val="CompactBullet"/>
      </w:pPr>
      <w:r>
        <w:t>Clinical guidelines are evidence, not absolute legal commands. Deviation may be appropriate when justified and documented, and insurer guidelines do not automatically become the legal standard of care.</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13 - Public Health, Infectious Disease, Emergency Powers, Vaccination Policy, Data Privacy, and Government Health Authority</w:t>
      </w:r>
    </w:p>
    <w:p>
      <w:pPr/>
      <w:r>
        <w:t>Public-health authorities need enough power to respond to real disease threats, but emergency authority must remain evidence-based, narrow, temporary, reviewable, and accountable to elected government.</w:t>
      </w:r>
    </w:p>
    <w:p>
      <w:pPr>
        <w:pStyle w:val="Heading2"/>
      </w:pPr>
      <w:r>
        <w:t>Approved Policy Provisions</w:t>
      </w:r>
    </w:p>
    <w:p>
      <w:pPr>
        <w:pStyle w:val="CompactBullet"/>
      </w:pPr>
      <w:r>
        <w:t>Extraordinary statewide Department of Health orders generally last no more than seven days initially and may receive only one evidence-based extension to fourteen total days before elected-government authorization is required. Reissuing substantially the same order cannot reset the clock.</w:t>
      </w:r>
    </w:p>
    <w:p>
      <w:pPr>
        <w:pStyle w:val="CompactBullet"/>
      </w:pPr>
      <w:r>
        <w:t>Isolation and quarantine require individualized evidence, disease-specific risk, written notice, release criteria, recurring review, due process, and the least restrictive appropriate setting. Vaccine or treatment refusal alone does not prove infection, exposure, communicability, or dangerousness.</w:t>
      </w:r>
    </w:p>
    <w:p>
      <w:pPr>
        <w:pStyle w:val="CompactBullet"/>
      </w:pPr>
      <w:r>
        <w:t>Competent adults cannot be forcibly treated merely to reduce communicability. Compulsory testing, invasive procedures, property entry, and other coercive measures require specific lawful authority, individualized grounds, warrants or judicial review where required, and narrow emergency exceptions.</w:t>
      </w:r>
    </w:p>
    <w:p>
      <w:pPr>
        <w:pStyle w:val="CompactBullet"/>
      </w:pPr>
      <w:r>
        <w:t>There is no compulsory vaccination of the general population under this reform. School vaccine requirements may continue with medical, religious, philosophical, or strong moral and ethical exemptions, subject to independent review at least every three years and evidence-based review before new mandates are added.</w:t>
      </w:r>
    </w:p>
    <w:p>
      <w:pPr>
        <w:pStyle w:val="CompactBullet"/>
      </w:pPr>
      <w:r>
        <w:t>Pennsylvania shall not maintain a mandatory centralized longitudinal vaccine database. Aggregate deidentified research and disease data may be used with privacy, retention, small-cell, cybersecurity, and reidentification protections.</w:t>
      </w:r>
    </w:p>
    <w:p>
      <w:pPr>
        <w:pStyle w:val="CompactBullet"/>
      </w:pPr>
      <w:r>
        <w:t>School masking is limited to seven days initially, with one special-circumstances extension to fourteen total days based on updated local evidence; longer requirements need elected authority. School closures and business restrictions must be targeted, evidence-based, time-limited, and the least restrictive reasonably effective option.</w:t>
      </w:r>
    </w:p>
    <w:p>
      <w:pPr>
        <w:pStyle w:val="CompactBullet"/>
      </w:pPr>
      <w:r>
        <w:t>Public-health entry, interviews with minors, body handling, work exclusions, data sharing, location information, procurement, enforcement, and emergency assistance are all subject to clear legal limits, privacy protections, due process, and public reporting.</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14 - Health Information, Medical Records, Telemedicine, Artificial Intelligence, Cybersecurity, and Patient Data Rights</w:t>
      </w:r>
    </w:p>
    <w:p>
      <w:pPr/>
      <w:r>
        <w:t>Modern healthcare technology should improve diagnosis, coordination, access, and patient safety without turning medicine into unnecessary surveillance, inaccessible proprietary systems, or unaccountable automated decision-making.</w:t>
      </w:r>
    </w:p>
    <w:p>
      <w:pPr>
        <w:pStyle w:val="Heading2"/>
      </w:pPr>
      <w:r>
        <w:t>Approved Policy Provisions</w:t>
      </w:r>
    </w:p>
    <w:p>
      <w:pPr>
        <w:pStyle w:val="CompactBullet"/>
      </w:pPr>
      <w:r>
        <w:t>Patients receive practical access to legally available medical records. Records less than five years old are generally due within 48 hours, records five through ten years old within 96 hours, and older retained records within ten business days after identity and authority are reasonably verified.</w:t>
      </w:r>
    </w:p>
    <w:p>
      <w:pPr>
        <w:pStyle w:val="CompactBullet"/>
      </w:pPr>
      <w:r>
        <w:t>The first ten pages of an ordinary record request are free, ordinary additional pages are capped at ten cents per page, and unusual physical reproduction may cost more only within reasonable limits. Patients also have a right to actual diagnostic images in a usable, viewable format.</w:t>
      </w:r>
    </w:p>
    <w:p>
      <w:pPr>
        <w:pStyle w:val="CompactBullet"/>
      </w:pPr>
      <w:r>
        <w:t>All lawfully retained medical records must be digitized within five years, with integrity, audit history, searchability, secure backups, interoperability, reasonable transition assistance, and no special patient charge merely to finance provider compliance.</w:t>
      </w:r>
    </w:p>
    <w:p>
      <w:pPr>
        <w:pStyle w:val="CompactBullet"/>
      </w:pPr>
      <w:r>
        <w:t>Health-information exchanges may support treatment coordination without becoming a general centralized state medical dossier. Consumer health applications, genetic data, biometrics, precise health-related location data, employers, insurers, data brokers, and government access all receive stronger purpose, consent, security, and minimum-necessary limits.</w:t>
      </w:r>
    </w:p>
    <w:p>
      <w:pPr>
        <w:pStyle w:val="CompactBullet"/>
      </w:pPr>
      <w:r>
        <w:t>Parents and legal guardians retain primary medical decision-making authority and record access for minor children until age 18 to the maximum extent Pennsylvania may lawfully establish, subject to controlling federal law, court orders, emancipation, and narrow abuse or immediate-danger protections.</w:t>
      </w:r>
    </w:p>
    <w:p>
      <w:pPr>
        <w:pStyle w:val="CompactBullet"/>
      </w:pPr>
      <w:r>
        <w:t>Telemedicine uses an appropriate standard comparable to in-person care, preserves patient choice where clinically appropriate, supports audio-only care when suitable, and cannot be forced as a substitute for necessary examination, testing, emergency capacity, or hands-on treatment.</w:t>
      </w:r>
    </w:p>
    <w:p>
      <w:pPr>
        <w:pStyle w:val="CompactBullet"/>
      </w:pPr>
      <w:r>
        <w:t>AI interacting directly with patients about individualized care must clearly identify itself and may not falsely present itself as a licensed healthcare professional. AI may assist clinicians, but accountable human judgment remains required for consequential care and final medical-necessity denials.</w:t>
      </w:r>
    </w:p>
    <w:p>
      <w:pPr>
        <w:pStyle w:val="CompactBullet"/>
      </w:pPr>
      <w:r>
        <w:t>Clinicians, healthcare organizations, developers, vendors, officers, controlling owners, and other responsible parties may be accountable for their own negligent, fraudulent, reckless, or otherwise unlawful AI conduct. Passive ownership alone does not create criminal liability, and AI is not a malpractice excuse.</w:t>
      </w:r>
    </w:p>
    <w:p>
      <w:pPr>
        <w:pStyle w:val="CompactBullet"/>
      </w:pPr>
      <w:r>
        <w:t>High-impact AI requires risk-based validation, auditable decision records, human review, monitoring, and secure government regulatory access without public disclosure of proprietary source code. Healthcare cybersecurity includes encryption, multifactor authentication, backups, vendor oversight, breach response, recovery, and ransomware preparedness.</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15 - Prevention, Chronic Disease, Nutrition, Obesity, Screening, and Population Health</w:t>
      </w:r>
    </w:p>
    <w:p>
      <w:pPr/>
      <w:r>
        <w:t>Prevention should identify disease earlier, reduce avoidable complications, and improve long-term health rather than become another administrative barrier delaying medically necessary diagnosis or treatment.</w:t>
      </w:r>
    </w:p>
    <w:p>
      <w:pPr>
        <w:pStyle w:val="Heading2"/>
      </w:pPr>
      <w:r>
        <w:t>Approved Policy Provisions</w:t>
      </w:r>
    </w:p>
    <w:p>
      <w:pPr>
        <w:pStyle w:val="CompactBullet"/>
      </w:pPr>
      <w:r>
        <w:t>Evidence-supported screening, individualized risk assessment, low or no cost-sharing for high-value preventive services, and expedited diagnostic follow-up after significant abnormal findings are strengthened across cancer, cardiovascular disease, diabetes, kidney disease, maternal care, infant care, vision, hearing, and other appropriate areas.</w:t>
      </w:r>
    </w:p>
    <w:p>
      <w:pPr>
        <w:pStyle w:val="CompactBullet"/>
      </w:pPr>
      <w:r>
        <w:t>Obesity is treated as a multifactorial medical condition. BMI may be used as a rough screening or population measure but cannot by itself diagnose obesity, define health, determine medical necessity, decide treatment eligibility, or determine treatment success.</w:t>
      </w:r>
    </w:p>
    <w:p>
      <w:pPr>
        <w:pStyle w:val="CompactBullet"/>
      </w:pPr>
      <w:r>
        <w:t>Individual obesity assessment may consider body composition, waist measures, metabolic health, muscle mass, bone structure, cardiovascular risk, diabetes, liver disease, sleep disorders, functional limitations, medication effects, endocrine factors, and other clinically relevant findings.</w:t>
      </w:r>
    </w:p>
    <w:p>
      <w:pPr>
        <w:pStyle w:val="CompactBullet"/>
      </w:pPr>
      <w:r>
        <w:t>Patients capable of participating in an ongoing intensive treatment plan have a responsibility to make a reasonable good-faith effort, while providers must consider legitimate medical, disability, financial, transportation, food-access, work, caregiving, cognitive, or other practical barriers.</w:t>
      </w:r>
    </w:p>
    <w:p>
      <w:pPr>
        <w:pStyle w:val="CompactBullet"/>
      </w:pPr>
      <w:r>
        <w:t>If a specific obesity or diabetes treatment becomes unsuccessful because of documented unreasonable nonparticipation, the clinician may discontinue or modify that treatment and move to a medically appropriate less expensive, less intensive, simpler, or more sustainable option without automatically dropping the patient from the practice.</w:t>
      </w:r>
    </w:p>
    <w:p>
      <w:pPr>
        <w:pStyle w:val="CompactBullet"/>
      </w:pPr>
      <w:r>
        <w:t>Medical insurance must recognize qualifying dental or oral treatment as medical care when an oral condition causes or materially worsens systemic disease, serious infection, nutrition problems, major-surgery risk, cancer-treatment complications, trauma, or another significant medical condition. Routine and cosmetic dentistry remain separate.</w:t>
      </w:r>
    </w:p>
    <w:p>
      <w:pPr>
        <w:pStyle w:val="CompactBullet"/>
      </w:pPr>
      <w:r>
        <w:t>Smoking cessation, product-specific nicotine policy, substance-use prevention, sleep-disorder evaluation, chronic-pain diagnosis, limb-preservation care, nutrition therapy, medically tailored food programs where proven, physical activity, developmental screening, and prevention-program accountability are integrated into the broader system.</w:t>
      </w:r>
    </w:p>
    <w:p>
      <w:pPr>
        <w:pStyle w:val="CompactBullet"/>
      </w:pPr>
      <w:r>
        <w:t>Major prevention programs must demonstrate measurable health value, patient function, and reasonable long-term cost rather than rely on enrollment or activity counts alone.</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16 - Healthcare Administration, Agency Structure, Appeals, Enforcement, Fraud Coordination, and Government Accountability</w:t>
      </w:r>
    </w:p>
    <w:p>
      <w:pPr/>
      <w:r>
        <w:t>Pennsylvania should not solve healthcare bureaucracy by creating another unnecessary bureaucracy. This Part reduces duplication, coordinates specialized agencies, simplifies complaints and appeals, strengthens enforcement, and makes government accountable for its own performance.</w:t>
      </w:r>
    </w:p>
    <w:p>
      <w:pPr>
        <w:pStyle w:val="Heading2"/>
      </w:pPr>
      <w:r>
        <w:t>Approved Policy Provisions</w:t>
      </w:r>
    </w:p>
    <w:p>
      <w:pPr>
        <w:pStyle w:val="CompactBullet"/>
      </w:pPr>
      <w:r>
        <w:t>A Healthcare Government Consolidation and Efficiency Review examines every material department, office, bureau, board, commission, council, authority, committee, and program for duplication, necessity, cost, overlap, consolidation, or dissolution while preserving truly independent adjudicatory, prosecutorial, auditing, licensing, and safety functions.</w:t>
      </w:r>
    </w:p>
    <w:p>
      <w:pPr>
        <w:pStyle w:val="CompactBullet"/>
      </w:pPr>
      <w:r>
        <w:t>A Healthcare Reform Coordinating Council uses existing staff and infrastructure where practical to coordinate implementation, common standards, data, deadlines, complaints, federal waivers, and public reporting without becoming a new super-agency or overriding lawful independent authority.</w:t>
      </w:r>
    </w:p>
    <w:p>
      <w:pPr>
        <w:pStyle w:val="CompactBullet"/>
      </w:pPr>
      <w:r>
        <w:t>Qualified medical, actuarial, scientific, auditing, statistical, and other professionals must be free to reach honest technical findings. Elected and appointed officials may question, clarify, request additional analysis, or reject government overreach, but may not order experts to falsify technical conclusions.</w:t>
      </w:r>
    </w:p>
    <w:p>
      <w:pPr>
        <w:pStyle w:val="CompactBullet"/>
      </w:pPr>
      <w:r>
        <w:t>A statewide Healthcare Complaint Gateway creates one entry point, one master tracking number, no-wrong-door transfer, digital and nondigital filing, secure status tracking, urgent pathways, and a maximum five-business-day acknowledgment period absent extraordinary disruption.</w:t>
      </w:r>
    </w:p>
    <w:p>
      <w:pPr>
        <w:pStyle w:val="CompactBullet"/>
      </w:pPr>
      <w:r>
        <w:t>Medicaid and insurance appeals receive simplified filing, plain-language notices, qualified medical review, independent adjudication, expedited pathways, good-cause deadline relief, continuity protections, and safeguards preventing provider-payer disputes from becoming patient debt or treatment interruption.</w:t>
      </w:r>
    </w:p>
    <w:p>
      <w:pPr>
        <w:pStyle w:val="CompactBullet"/>
      </w:pPr>
      <w:r>
        <w:t>Interagency enforcement coordinates Medicaid, insurance, licensing, patient safety, consumer protection, contracting, civil enforcement, and criminal referrals while preserving prosecutorial independence and distinguishing ordinary errors from significant violations, repeated misconduct, fraud, recklessness, and crimes.</w:t>
      </w:r>
    </w:p>
    <w:p>
      <w:pPr>
        <w:pStyle w:val="CompactBullet"/>
      </w:pPr>
      <w:r>
        <w:t>Major healthcare contractors must prove value before renewal, disclose meaningful beneficial ownership and related-party relationships, and face ongoing cost, outcome, access, staffing, fraud, subcontracting, and compliance review.</w:t>
      </w:r>
    </w:p>
    <w:p>
      <w:pPr>
        <w:pStyle w:val="CompactBullet"/>
      </w:pPr>
      <w:r>
        <w:t>Healthcare-industry lobbying of regulators is subject to strong anti-capture rules: lawful petition rights remain protected, but substantive regulatory contacts, major meetings, written submissions, conflicts, gifts, revolving-door relationships, adjudications, enforcement matters, and procurement contacts receive transparency or restriction as legally appropriate.</w:t>
      </w:r>
    </w:p>
    <w:p>
      <w:pPr>
        <w:pStyle w:val="CompactBullet"/>
      </w:pPr>
      <w:r>
        <w:t>A Healthcare Accountability Portal links specialized dashboards and reports government performance, including complaint times, appeal times, audit completion, recoveries, enforcement backlogs, missed statutory deadlines, contractor reviews, and implementation progress.</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Part 17 - Funding, Federal Waivers, Implementation, Transition, Legal Authority, Constitutional Safeguards, and Final Integration</w:t>
      </w:r>
    </w:p>
    <w:p>
      <w:pPr/>
      <w:r>
        <w:t>The final Part turns the reform into an implementation framework with identified funding, legal authority, federal approvals, timelines, fiscal safeguards, transition protections, constitutional review, and measurable long-term accountability.</w:t>
      </w:r>
    </w:p>
    <w:p>
      <w:pPr>
        <w:pStyle w:val="Heading2"/>
      </w:pPr>
      <w:r>
        <w:t>Approved Policy Provisions</w:t>
      </w:r>
    </w:p>
    <w:p>
      <w:pPr>
        <w:pStyle w:val="CompactBullet"/>
      </w:pPr>
      <w:r>
        <w:t>Pennsylvania shall do everything reasonably possible to finance the reform without new broad-based taxation. Government must first eliminate duplication, unnecessary agencies and programs, administrative waste, fraud, improper payments, inefficient contracts, avoidable procurement costs, and ineffective existing spending.</w:t>
      </w:r>
    </w:p>
    <w:p>
      <w:pPr>
        <w:pStyle w:val="CompactBullet"/>
      </w:pPr>
      <w:r>
        <w:t>The financing order prioritizes government consolidation, fraud prevention and recovery, contract reform, spending redirection, procurement savings, appropriate federal funds, verified system savings, and existing lawful revenue before additional state revenue is considered. Broad new taxation is a separately justified legislative last resort.</w:t>
      </w:r>
    </w:p>
    <w:p>
      <w:pPr>
        <w:pStyle w:val="CompactBullet"/>
      </w:pPr>
      <w:r>
        <w:t>Projected savings, realized savings, and independently verified savings are reported separately; the same savings cannot be counted twice, and hidden cost shifts to patients, employers, local government, providers, or other taxpayers are not reported as savings.</w:t>
      </w:r>
    </w:p>
    <w:p>
      <w:pPr>
        <w:pStyle w:val="CompactBullet"/>
      </w:pPr>
      <w:r>
        <w:t>A dedicated healthcare reform financial schedule covers at least five years, major long-term reforms receive additional projections, assumptions and uncertainty are disclosed, and major fiscal claims receive independent or independently reviewable analysis.</w:t>
      </w:r>
    </w:p>
    <w:p>
      <w:pPr>
        <w:pStyle w:val="CompactBullet"/>
      </w:pPr>
      <w:r>
        <w:t>State-controlled protections proceed while federally dependent provisions move through coordinated Medicaid State Plan Amendments, Section 1115 demonstrations, Section 1332 processes, or other required federal approvals. Federal denial triggers contingency planning rather than automatic abandonment or unlawful implementation.</w:t>
      </w:r>
    </w:p>
    <w:p>
      <w:pPr>
        <w:pStyle w:val="CompactBullet"/>
      </w:pPr>
      <w:r>
        <w:t>Every major provision is mapped to its statutory, regulatory, appropriation, federal, waiver, or constitutional authority. The 17-Part policy remains one framework but may be enacted through multiple coordinated bills where Pennsylvania constitutional single-subject or appropriation requirements make that necessary.</w:t>
      </w:r>
    </w:p>
    <w:p>
      <w:pPr>
        <w:pStyle w:val="CompactBullet"/>
      </w:pPr>
      <w:r>
        <w:t>Courts are obeyed, unaffected provisions continue, lawful appeals remain available, and government may develop revised lawful alternatives. The executive branch may not simply recreate substantially the same power after a court rules that the executive or an agency lacks authority; additional authority must come through the lawful legislative route when required.</w:t>
      </w:r>
    </w:p>
    <w:p>
      <w:pPr>
        <w:pStyle w:val="CompactBullet"/>
      </w:pPr>
      <w:r>
        <w:t>Existing patients receive continuity-of-care protections, new requirements are applied prospectively, existing lawful contracts and pending cases receive orderly transition treatment, and major implementation deadlines remain public and enforceable.</w:t>
      </w:r>
    </w:p>
    <w:p>
      <w:pPr>
        <w:pStyle w:val="CompactBullet"/>
      </w:pPr>
      <w:r>
        <w:t>Baseline measurements, annual reconciliation, a major independent review around Year 3, and a comprehensive five-year review determine what should be continued, modified, consolidated, replaced, expanded, or repealed based on actual affordability, access, health outcomes, fraud reduction, administrative performance, and taxpayer impact.</w:t>
      </w:r>
    </w:p>
    <w:p>
      <w:pPr>
        <w:pStyle w:val="Heading2"/>
      </w:pPr>
      <w:r>
        <w:t>Implementation Standard</w:t>
      </w:r>
    </w:p>
    <w:p>
      <w:pPr/>
      <w:r>
        <w:t>This Part is implemented through applicable statutory action, agency rules within delegated authority, public reporting, audits, appeals, enforcement, measurable performance standards, privacy protections, and coordination with the full reform framework. Federal approval is pursued where required without delaying unrelated reforms Pennsylvania can lawfully implement on its own.</w:t>
      </w:r>
    </w:p>
    <w:p>
      <w:pPr>
        <w:pStyle w:val="Heading1"/>
      </w:pPr>
      <w:r>
        <w:t>Closing Statement</w:t>
      </w:r>
    </w:p>
    <w:p>
      <w:pPr/>
      <w:r>
        <w:t>This reform is designed to make Pennsylvania healthcare more affordable, accessible, accountable, and focused on actual patient outcomes. It protects legitimate patients and honest providers while confronting unnecessary insurance barriers, Medicaid fraud, prescription and hospital costs, medical debt, treatment shortages, weak public accountability, excessive administrative power, and government duplication. It requires Pennsylvania to measure what works, correct what fails, preserve constitutional and patient protections, and exhaust reasonable savings before asking taxpayers for more money. The goal is not simply to spend more or regulate more. The goal is better healthcare value, stronger access, responsible government, and a system that treats the problem instead of endlessly managing the consequences.</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James Moore for Governor | Unbought. Unafraid. | www.mooreforpa.com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eastAsia="Arial"/>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444444"/>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Bullet">
    <w:name w:val="Compact Bullet"/>
    <w:basedOn w:val="ListBullet"/>
    <w:pPr>
      <w:spacing w:after="40"/>
      <w:ind w:left="360"/>
    </w:pPr>
    <w:rPr>
      <w:rFonts w:ascii="Arial" w:hAnsi="Arial" w:eastAsia="Arial"/>
      <w:sz w:val="20"/>
    </w:rPr>
  </w:style>
  <w:style w:type="paragraph" w:customStyle="1" w:styleId="CompactNumber">
    <w:name w:val="Compact Number"/>
    <w:basedOn w:val="ListNumber"/>
    <w:pPr>
      <w:spacing w:after="40"/>
      <w:ind w:left="360"/>
    </w:pPr>
    <w:rPr>
      <w:rFonts w:ascii="Arial" w:hAnsi="Arial" w:eastAsia="Arial"/>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Healthcare Affordability, Access &amp; Medicaid Accountability Reform</dc:title>
  <dc:subject>Complete Official Campaign Policy Framework</dc:subject>
  <dc:creator>James Moore for Governor</dc:creator>
  <cp:keywords/>
  <dc:description>generated by python-docx</dc:description>
  <cp:lastModifiedBy/>
  <cp:revision>1</cp:revision>
  <dcterms:created xsi:type="dcterms:W3CDTF">2013-12-23T23:15:00Z</dcterms:created>
  <dcterms:modified xsi:type="dcterms:W3CDTF">2013-12-23T23:15:00Z</dcterms:modified>
  <cp:category/>
</cp:coreProperties>
</file>