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Pennsylvania Vehicle Inspection &amp; Registration Modernization Reform</w:t>
      </w:r>
    </w:p>
    <w:p>
      <w:pPr>
        <w:pStyle w:val="Subtitle"/>
      </w:pPr>
      <w:r>
        <w:t>Complete Official Campaign Policy Framework</w:t>
      </w:r>
    </w:p>
    <w:p>
      <w:pPr/>
      <w:r>
        <w:rPr>
          <w:b/>
          <w:sz w:val="22"/>
        </w:rPr>
        <w:t>James Moore for Governor</w:t>
        <w:br/>
        <w:t>Unbought. Unafraid.</w:t>
      </w:r>
    </w:p>
    <w:p>
      <w:pPr/>
      <w:r>
        <w:rPr>
          <w:sz w:val="17"/>
        </w:rPr>
        <w:t>www.mooreforpa.com | facebook.com/mooreforpa | x.com/mooreforpa | instagram.com/mooreforpa</w:t>
      </w:r>
    </w:p>
    <w:p>
      <w:pPr/>
    </w:p>
    <w:p>
      <w:pPr>
        <w:pStyle w:val="Heading1"/>
      </w:pPr>
      <w:r>
        <w:t>Executive Summary</w:t>
      </w:r>
    </w:p>
    <w:p>
      <w:pPr/>
      <w:r>
        <w:t>The Pennsylvania Vehicle Inspection &amp; Registration Modernization Reform is a comprehensive vehicle-safety, consumer-protection, small-business, and government-modernization framework designed to reduce unnecessary recurring costs while preserving meaningful roadway-safety standards. It replaces a one-size-fits-all annual compliance model with risk-based inspection schedules, modern registration options, targeted emissions requirements, reasonable cure periods, mobile inspection access, transparent fee limits, secure digital records, stronger fraud enforcement, and evidence-based oversight.</w:t>
      </w:r>
    </w:p>
    <w:p>
      <w:pPr>
        <w:pStyle w:val="CompactBullet"/>
      </w:pPr>
      <w:r>
        <w:t>Move most ordinary passenger vehicles from annual safety inspections to inspections once every two years.</w:t>
      </w:r>
    </w:p>
    <w:p>
      <w:pPr>
        <w:pStyle w:val="CompactBullet"/>
      </w:pPr>
      <w:r>
        <w:t>Give new passenger vehicles a two-year routine safety-inspection exemption unless a defined safety trigger requires earlier inspection.</w:t>
      </w:r>
    </w:p>
    <w:p>
      <w:pPr>
        <w:pStyle w:val="CompactBullet"/>
      </w:pPr>
      <w:r>
        <w:t>Keep annual inspections for commercial trucks over 10,000 pounds, school buses, emergency vehicles, hazardous-material vehicles, and other narrowly defined higher-risk categories.</w:t>
      </w:r>
    </w:p>
    <w:p>
      <w:pPr>
        <w:pStyle w:val="CompactBullet"/>
      </w:pPr>
      <w:r>
        <w:t>Reduce emissions testing where federal law and documented air-quality obligations allow, exempt fully electric vehicles, and avoid harsher treatment merely because a vehicle is older.</w:t>
      </w:r>
    </w:p>
    <w:p>
      <w:pPr>
        <w:pStyle w:val="CompactBullet"/>
      </w:pPr>
      <w:r>
        <w:t>Modernize registration with one-, two-, and three-year options, digital-first service, optional reminders, seasonal options, and practical low-mileage rules.</w:t>
      </w:r>
    </w:p>
    <w:p>
      <w:pPr>
        <w:pStyle w:val="CompactBullet"/>
      </w:pPr>
      <w:r>
        <w:t>Create a 30-day cure period for qualifying administrative violations while preserving immediate enforcement for unsafe vehicles, fraud, insurance violations, and serious repeated noncompliance.</w:t>
      </w:r>
    </w:p>
    <w:p>
      <w:pPr>
        <w:pStyle w:val="CompactBullet"/>
      </w:pPr>
      <w:r>
        <w:t>Cap required inspection fees, require transparent pricing, preserve repair choice, regulate mobile inspections, protect privacy, punish fraud, and publicly measure safety results.</w:t>
      </w:r>
    </w:p>
    <w:p>
      <w:pPr>
        <w:pStyle w:val="Heading1"/>
      </w:pPr>
      <w:r>
        <w:t>Core Modernization Standards</w:t>
      </w:r>
    </w:p>
    <w:p>
      <w:pPr>
        <w:pStyle w:val="CompactBullet"/>
      </w:pPr>
      <w:r>
        <w:rPr>
          <w:b/>
        </w:rPr>
        <w:t xml:space="preserve">Passenger safety inspections: </w:t>
      </w:r>
      <w:r>
        <w:t>Most ordinary passenger vehicles move to a two-year cycle.</w:t>
      </w:r>
    </w:p>
    <w:p>
      <w:pPr>
        <w:pStyle w:val="CompactBullet"/>
      </w:pPr>
      <w:r>
        <w:rPr>
          <w:b/>
        </w:rPr>
        <w:t xml:space="preserve">New passenger vehicles: </w:t>
      </w:r>
      <w:r>
        <w:t>No routine state safety inspection during the first two years unless a defined safety trigger occurs.</w:t>
      </w:r>
    </w:p>
    <w:p>
      <w:pPr>
        <w:pStyle w:val="CompactBullet"/>
      </w:pPr>
      <w:r>
        <w:rPr>
          <w:b/>
        </w:rPr>
        <w:t xml:space="preserve">Higher-risk vehicles: </w:t>
      </w:r>
      <w:r>
        <w:t>Annual inspections continue for commercial trucks over 10,000 pounds, school buses, emergency vehicles, hazardous-material vehicles, and other narrowly defined higher-risk categories.</w:t>
      </w:r>
    </w:p>
    <w:p>
      <w:pPr>
        <w:pStyle w:val="CompactBullet"/>
      </w:pPr>
      <w:r>
        <w:rPr>
          <w:b/>
        </w:rPr>
        <w:t xml:space="preserve">Administrative cure period: </w:t>
      </w:r>
      <w:r>
        <w:t>Qualifying inspection or registration expiration receives a 30-day opportunity to correct the issue before escalating penalties.</w:t>
      </w:r>
    </w:p>
    <w:p>
      <w:pPr>
        <w:pStyle w:val="CompactBullet"/>
      </w:pPr>
      <w:r>
        <w:rPr>
          <w:b/>
        </w:rPr>
        <w:t xml:space="preserve">Registration options: </w:t>
      </w:r>
      <w:r>
        <w:t>One-, two-, and three-year registration with digital-first service and reasonable paper access.</w:t>
      </w:r>
    </w:p>
    <w:p>
      <w:pPr>
        <w:pStyle w:val="Heading1"/>
      </w:pPr>
      <w:r>
        <w:t>Table of Contents</w:t>
      </w:r>
    </w:p>
    <w:p>
      <w:pPr/>
      <w:r>
        <w:t>1. Part 1 - Core Mission, Scope, and Governing Principles</w:t>
      </w:r>
    </w:p>
    <w:p>
      <w:pPr/>
      <w:r>
        <w:t>2. Part 2 - Passenger-Vehicle Inspection Schedule</w:t>
      </w:r>
    </w:p>
    <w:p>
      <w:pPr/>
      <w:r>
        <w:t>3. Part 3 - Higher-Risk Vehicle Inspection Standards</w:t>
      </w:r>
    </w:p>
    <w:p>
      <w:pPr/>
      <w:r>
        <w:t>4. Part 4 - Safety Triggers, Roadside Enforcement, and Targeted Reinspection</w:t>
      </w:r>
    </w:p>
    <w:p>
      <w:pPr/>
      <w:r>
        <w:t>5. Part 5 - New-Vehicle Inspection Exemption</w:t>
      </w:r>
    </w:p>
    <w:p>
      <w:pPr/>
      <w:r>
        <w:t>6. Part 6 - Emissions Inspection Modernization</w:t>
      </w:r>
    </w:p>
    <w:p>
      <w:pPr/>
      <w:r>
        <w:t>7. Part 7 - Registration Modernization, Reminders, and Administrative Cure</w:t>
      </w:r>
    </w:p>
    <w:p>
      <w:pPr/>
      <w:r>
        <w:t>8. Part 8 - Low-Mileage, Seasonal, Collector, and Limited-Use Vehicles</w:t>
      </w:r>
    </w:p>
    <w:p>
      <w:pPr/>
      <w:r>
        <w:t>9. Part 9 - Small-Business and Light Commercial Vehicle Protections</w:t>
      </w:r>
    </w:p>
    <w:p>
      <w:pPr/>
      <w:r>
        <w:t>10. Part 10 - Certified Mobile Inspection Services</w:t>
      </w:r>
    </w:p>
    <w:p>
      <w:pPr/>
      <w:r>
        <w:t>11. Part 11 - Inspection Fees, Price Transparency, and Repair Choice</w:t>
      </w:r>
    </w:p>
    <w:p>
      <w:pPr/>
      <w:r>
        <w:t>12. Part 12 - Unified Vehicle Compliance Record and Digital Verification</w:t>
      </w:r>
    </w:p>
    <w:p>
      <w:pPr/>
      <w:r>
        <w:t>13. Part 13 - Privacy, Authorized Access, and Data-Security Safeguards</w:t>
      </w:r>
    </w:p>
    <w:p>
      <w:pPr/>
      <w:r>
        <w:t>14. Part 14 - Inspection-Station Accountability, Consumer Feedback, and Compliance Oversight</w:t>
      </w:r>
    </w:p>
    <w:p>
      <w:pPr/>
      <w:r>
        <w:t>15. Part 15 - Fraud, False Records, Odometer Abuse, and Enforcement</w:t>
      </w:r>
    </w:p>
    <w:p>
      <w:pPr/>
      <w:r>
        <w:t>16. Part 16 - Safety Data, Audits, Performance Review, and Adjustment Triggers</w:t>
      </w:r>
    </w:p>
    <w:p>
      <w:pPr/>
      <w:r>
        <w:t>17. Part 17 - Transition, Funding, Fees, and Administrative Implementation</w:t>
      </w:r>
    </w:p>
    <w:p>
      <w:pPr/>
      <w:r>
        <w:t>18. Part 18 - Legal Authority, Federal Compliance, Rulemaking, Severability, and Final Review</w:t>
      </w:r>
    </w:p>
    <w:p>
      <w:pPr>
        <w:pStyle w:val="Heading1"/>
      </w:pPr>
      <w:r>
        <w:t>Part 1 - Core Mission, Scope, and Governing Principles</w:t>
      </w:r>
    </w:p>
    <w:p>
      <w:pPr/>
      <w:r>
        <w:t>Pennsylvania drivers should not have to pay unnecessary costs every year simply to keep a safe vehicle legal. Vehicle inspections serve a legitimate safety purpose, but the system should match inspection frequency and enforcement to actual risk instead of treating every vehicle, driver, and use pattern the same.</w:t>
      </w:r>
    </w:p>
    <w:p>
      <w:pPr>
        <w:pStyle w:val="Heading2"/>
      </w:pPr>
      <w:r>
        <w:t>Approved Policy Provisions</w:t>
      </w:r>
    </w:p>
    <w:p>
      <w:pPr>
        <w:pStyle w:val="CompactBullet"/>
      </w:pPr>
      <w:r>
        <w:t>Roadway safety remains the controlling purpose of the inspection system; the reform changes frequency, administration, and enforcement priorities rather than eliminating safety standards.</w:t>
      </w:r>
    </w:p>
    <w:p>
      <w:pPr>
        <w:pStyle w:val="CompactBullet"/>
      </w:pPr>
      <w:r>
        <w:t>Most ordinary passenger vehicles move to biennial inspection while higher-risk categories remain subject to stronger schedules.</w:t>
      </w:r>
    </w:p>
    <w:p>
      <w:pPr>
        <w:pStyle w:val="CompactBullet"/>
      </w:pPr>
      <w:r>
        <w:t>Administrative mistakes are distinguished from unsafe operation, deliberate fraud, and repeated intentional noncompliance.</w:t>
      </w:r>
    </w:p>
    <w:p>
      <w:pPr>
        <w:pStyle w:val="CompactBullet"/>
      </w:pPr>
      <w:r>
        <w:t>Vehicle age alone does not make a vehicle unsafe or environmentally noncompliant.</w:t>
      </w:r>
    </w:p>
    <w:p>
      <w:pPr>
        <w:pStyle w:val="CompactBullet"/>
      </w:pPr>
      <w:r>
        <w:t>Government modernization must reduce unnecessary paperwork, recurring costs, duplication, and inconvenience while preserving enforceable safety standards.</w:t>
      </w:r>
    </w:p>
    <w:p>
      <w:pPr>
        <w:pStyle w:val="CompactBullet"/>
      </w:pPr>
      <w:r>
        <w:t>Small businesses, rural residents, low-mileage drivers, seasonal users, inspection businesses, and consumers receive rules proportionate to actual use and risk.</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2 - Passenger-Vehicle Inspection Schedule</w:t>
      </w:r>
    </w:p>
    <w:p>
      <w:pPr/>
      <w:r>
        <w:t>Most ordinary passenger vehicles would move from an annual safety inspection to an inspection once every two years. The inspection interval changes; the owner's continuing responsibility to keep the vehicle in safe operating condition does not.</w:t>
      </w:r>
    </w:p>
    <w:p>
      <w:pPr>
        <w:pStyle w:val="Heading2"/>
      </w:pPr>
      <w:r>
        <w:t>Approved Policy Provisions</w:t>
      </w:r>
    </w:p>
    <w:p>
      <w:pPr>
        <w:pStyle w:val="CompactBullet"/>
      </w:pPr>
      <w:r>
        <w:t>Biennial inspection applies to ordinary passenger vehicles that are not otherwise placed in a higher-risk category.</w:t>
      </w:r>
    </w:p>
    <w:p>
      <w:pPr>
        <w:pStyle w:val="CompactBullet"/>
      </w:pPr>
      <w:r>
        <w:t>A valid biennial inspection does not authorize operation of a vehicle with a known or observable unsafe condition.</w:t>
      </w:r>
    </w:p>
    <w:p>
      <w:pPr>
        <w:pStyle w:val="CompactBullet"/>
      </w:pPr>
      <w:r>
        <w:t>Owners remain responsible for brakes, tires, steering, lighting, structural integrity, required safety equipment, and other lawful operating standards between inspections.</w:t>
      </w:r>
    </w:p>
    <w:p>
      <w:pPr>
        <w:pStyle w:val="CompactBullet"/>
      </w:pPr>
      <w:r>
        <w:t>The Commonwealth shall avoid creating duplicative interim inspection requirements that defeat the purpose of the two-year cycle.</w:t>
      </w:r>
    </w:p>
    <w:p>
      <w:pPr>
        <w:pStyle w:val="CompactBullet"/>
      </w:pPr>
      <w:r>
        <w:t>Inspection records shall be entered into the unified vehicle compliance record at the time of inspection.</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3 - Higher-Risk Vehicle Inspection Standards</w:t>
      </w:r>
    </w:p>
    <w:p>
      <w:pPr/>
      <w:r>
        <w:t>Inspection frequency should reflect actual risk. Vehicles carrying heavier loads, children, emergency personnel, hazardous materials, or presenting other clearly elevated safety risks remain subject to annual inspection.</w:t>
      </w:r>
    </w:p>
    <w:p>
      <w:pPr>
        <w:pStyle w:val="Heading2"/>
      </w:pPr>
      <w:r>
        <w:t>Approved Policy Provisions</w:t>
      </w:r>
    </w:p>
    <w:p>
      <w:pPr>
        <w:pStyle w:val="CompactBullet"/>
      </w:pPr>
      <w:r>
        <w:t>Annual inspections continue for commercial trucks over 10,000 pounds.</w:t>
      </w:r>
    </w:p>
    <w:p>
      <w:pPr>
        <w:pStyle w:val="CompactBullet"/>
      </w:pPr>
      <w:r>
        <w:t>Annual inspections continue for school buses.</w:t>
      </w:r>
    </w:p>
    <w:p>
      <w:pPr>
        <w:pStyle w:val="CompactBullet"/>
      </w:pPr>
      <w:r>
        <w:t>Annual inspections continue for emergency vehicles.</w:t>
      </w:r>
    </w:p>
    <w:p>
      <w:pPr>
        <w:pStyle w:val="CompactBullet"/>
      </w:pPr>
      <w:r>
        <w:t>Annual inspections continue for hazardous-material vehicles.</w:t>
      </w:r>
    </w:p>
    <w:p>
      <w:pPr>
        <w:pStyle w:val="CompactBullet"/>
      </w:pPr>
      <w:r>
        <w:t>Other higher-risk categories may be added only through clearly defined statutory or evidence-based safety criteria, not vague administrative expansion.</w:t>
      </w:r>
    </w:p>
    <w:p>
      <w:pPr>
        <w:pStyle w:val="CompactBullet"/>
      </w:pPr>
      <w:r>
        <w:t>Commercial roadside inspection authority otherwise authorized by law remains in effect.</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4 - Safety Triggers, Roadside Enforcement, and Targeted Reinspection</w:t>
      </w:r>
    </w:p>
    <w:p>
      <w:pPr/>
      <w:r>
        <w:t>A two-year inspection cycle cannot become a shield for an unsafe vehicle. Pennsylvania will retain targeted authority to require an earlier inspection when an articulable safety condition arises, while preventing minor paperwork issues from becoming an unnecessary primary enforcement tool.</w:t>
      </w:r>
    </w:p>
    <w:p>
      <w:pPr>
        <w:pStyle w:val="Heading2"/>
      </w:pPr>
      <w:r>
        <w:t>Approved Policy Provisions</w:t>
      </w:r>
    </w:p>
    <w:p>
      <w:pPr>
        <w:pStyle w:val="CompactBullet"/>
      </w:pPr>
      <w:r>
        <w:t>An earlier inspection may be required after a serious crash affecting vehicle safety, salvage or reconstructed status, significant structural damage, an observable serious mechanical hazard, a legitimate roadside safety flag, or repeated serious vehicle-safety violations.</w:t>
      </w:r>
    </w:p>
    <w:p>
      <w:pPr>
        <w:pStyle w:val="CompactBullet"/>
      </w:pPr>
      <w:r>
        <w:t>Safety triggers must be tied to an articulable condition or defined event and may not be used for arbitrary reinspection of otherwise compliant vehicles.</w:t>
      </w:r>
    </w:p>
    <w:p>
      <w:pPr>
        <w:pStyle w:val="CompactBullet"/>
      </w:pPr>
      <w:r>
        <w:t>During a qualifying administrative cure period, minor inspection or registration expiration should generally be treated as a secondary compliance matter rather than the sole basis for an unnecessary traffic stop.</w:t>
      </w:r>
    </w:p>
    <w:p>
      <w:pPr>
        <w:pStyle w:val="CompactBullet"/>
      </w:pPr>
      <w:r>
        <w:t>Law enforcement retains authority to act on observable unsafe tires, unsecured equipment, serious lighting defects, dangerous structural conditions, or other legitimate roadway-safety hazards.</w:t>
      </w:r>
    </w:p>
    <w:p>
      <w:pPr>
        <w:pStyle w:val="CompactBullet"/>
      </w:pPr>
      <w:r>
        <w:t>Digital verification may be used to confirm compliance status, but automated status information alone does not eliminate applicable constitutional and statutory limits on stops, searches, seizures, or enforcement.</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5 - New-Vehicle Inspection Exemption</w:t>
      </w:r>
    </w:p>
    <w:p>
      <w:pPr/>
      <w:r>
        <w:t>Modern new passenger vehicles should not require a routine state safety inspection immediately after purchase simply because the calendar changes. New passenger vehicles receive a two-year routine inspection exemption while remaining subject to actual safety triggers.</w:t>
      </w:r>
    </w:p>
    <w:p>
      <w:pPr>
        <w:pStyle w:val="Heading2"/>
      </w:pPr>
      <w:r>
        <w:t>Approved Policy Provisions</w:t>
      </w:r>
    </w:p>
    <w:p>
      <w:pPr>
        <w:pStyle w:val="CompactBullet"/>
      </w:pPr>
      <w:r>
        <w:t>New ordinary passenger vehicles are exempt from routine Pennsylvania safety inspection requirements during their first two years.</w:t>
      </w:r>
    </w:p>
    <w:p>
      <w:pPr>
        <w:pStyle w:val="CompactBullet"/>
      </w:pPr>
      <w:r>
        <w:t>The exemption ends early if a defined safety trigger occurs, including a serious crash, significant damage, salvage or reconstructed status, or an observable condition creating a legitimate safety concern.</w:t>
      </w:r>
    </w:p>
    <w:p>
      <w:pPr>
        <w:pStyle w:val="CompactBullet"/>
      </w:pPr>
      <w:r>
        <w:t>At the end of the exemption period, the vehicle enters the ordinary biennial inspection cycle.</w:t>
      </w:r>
    </w:p>
    <w:p>
      <w:pPr>
        <w:pStyle w:val="CompactBullet"/>
      </w:pPr>
      <w:r>
        <w:t>The exemption does not apply to higher-risk categories that remain subject to annual or specialized inspection requirements.</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6 - Emissions Inspection Modernization</w:t>
      </w:r>
    </w:p>
    <w:p>
      <w:pPr/>
      <w:r>
        <w:t>Emissions inspection should be based on lawful federal obligations and documented air-quality need, not an assumption that every county, vehicle, or age group requires the same testing forever.</w:t>
      </w:r>
    </w:p>
    <w:p>
      <w:pPr>
        <w:pStyle w:val="Heading2"/>
      </w:pPr>
      <w:r>
        <w:t>Approved Policy Provisions</w:t>
      </w:r>
    </w:p>
    <w:p>
      <w:pPr>
        <w:pStyle w:val="CompactBullet"/>
      </w:pPr>
      <w:r>
        <w:t>Emissions testing remains where federal law, an approved State Implementation Plan, or documented air-quality obligations require it.</w:t>
      </w:r>
    </w:p>
    <w:p>
      <w:pPr>
        <w:pStyle w:val="CompactBullet"/>
      </w:pPr>
      <w:r>
        <w:t>Pennsylvania shall seek lawful federal approval or program revisions where testing can be reduced or eliminated without violating federal clean-air obligations.</w:t>
      </w:r>
    </w:p>
    <w:p>
      <w:pPr>
        <w:pStyle w:val="CompactBullet"/>
      </w:pPr>
      <w:r>
        <w:t>Fully electric vehicles are exempt from emissions inspection because they have no tailpipe emissions to test.</w:t>
      </w:r>
    </w:p>
    <w:p>
      <w:pPr>
        <w:pStyle w:val="CompactBullet"/>
      </w:pPr>
      <w:r>
        <w:t>Hybrid vehicles remain subject to emissions requirements only where legally required under the applicable program.</w:t>
      </w:r>
    </w:p>
    <w:p>
      <w:pPr>
        <w:pStyle w:val="CompactBullet"/>
      </w:pPr>
      <w:r>
        <w:t>Older vehicles shall not face harsher emissions standards merely because of model year; they are judged under the applicable lawful standard and actual condition.</w:t>
      </w:r>
    </w:p>
    <w:p>
      <w:pPr>
        <w:pStyle w:val="CompactBullet"/>
      </w:pPr>
      <w:r>
        <w:t>Where emissions testing remains required, fees must remain reasonable and predictable, with general fee review normally no more frequently than approximately once every five years unless an extraordinary documented circumstance requires earlier action.</w:t>
      </w:r>
    </w:p>
    <w:p>
      <w:pPr>
        <w:pStyle w:val="CompactBullet"/>
      </w:pPr>
      <w:r>
        <w:t>Any emissions-fee adjustment must be publicly justified.</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7 - Registration Modernization, Reminders, and Administrative Cure</w:t>
      </w:r>
    </w:p>
    <w:p>
      <w:pPr/>
      <w:r>
        <w:t>Vehicle registration should be simple, predictable, and easy to maintain. Pennsylvania will move to a digital-first system while preserving reasonable paper access and distinguishing ordinary paperwork mistakes from serious safety or fraud violations.</w:t>
      </w:r>
    </w:p>
    <w:p>
      <w:pPr>
        <w:pStyle w:val="Heading2"/>
      </w:pPr>
      <w:r>
        <w:t>Approved Policy Provisions</w:t>
      </w:r>
    </w:p>
    <w:p>
      <w:pPr>
        <w:pStyle w:val="CompactBullet"/>
      </w:pPr>
      <w:r>
        <w:t>Drivers may select one-year, two-year, or three-year registration.</w:t>
      </w:r>
    </w:p>
    <w:p>
      <w:pPr>
        <w:pStyle w:val="CompactBullet"/>
      </w:pPr>
      <w:r>
        <w:t>Drivers may register, renew, update information, obtain proof of registration, review compliance status, receive optional reminders, and correct administrative errors through a modernized system.</w:t>
      </w:r>
    </w:p>
    <w:p>
      <w:pPr>
        <w:pStyle w:val="CompactBullet"/>
      </w:pPr>
      <w:r>
        <w:t>Reasonable paper documentation and non-digital access remain available for residents who need or prefer them.</w:t>
      </w:r>
    </w:p>
    <w:p>
      <w:pPr>
        <w:pStyle w:val="CompactBullet"/>
      </w:pPr>
      <w:r>
        <w:t>Optional reminders may be delivered by text message, email, and mail for residents who enroll.</w:t>
      </w:r>
    </w:p>
    <w:p>
      <w:pPr>
        <w:pStyle w:val="CompactBullet"/>
      </w:pPr>
      <w:r>
        <w:t>A 30-day administrative cure period applies to qualifying inspection or registration expiration involving an otherwise safe vehicle.</w:t>
      </w:r>
    </w:p>
    <w:p>
      <w:pPr>
        <w:pStyle w:val="CompactBullet"/>
      </w:pPr>
      <w:r>
        <w:t>The cure period does not protect knowingly unsafe operation, serious mechanical defects, fraudulent inspection or registration, insurance violations governed separately by law, deliberate repeated noncompliance, or other serious safety-related violations.</w:t>
      </w:r>
    </w:p>
    <w:p>
      <w:pPr>
        <w:pStyle w:val="CompactBullet"/>
      </w:pPr>
      <w:r>
        <w:t>Late-fee and penalty structures shall distinguish good-faith correction from repeated or intentional noncompliance and shall not become a revenue-generating substitute for safety enforcement.</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8 - Low-Mileage, Seasonal, Collector, and Limited-Use Vehicles</w:t>
      </w:r>
    </w:p>
    <w:p>
      <w:pPr/>
      <w:r>
        <w:t>Not every vehicle is used the same way. Pennsylvania will recognize legitimate low-mileage, seasonal, collector, recreational, and other limited-use vehicles while maintaining a verifiable system that prevents abuse.</w:t>
      </w:r>
    </w:p>
    <w:p>
      <w:pPr>
        <w:pStyle w:val="Heading2"/>
      </w:pPr>
      <w:r>
        <w:t>Approved Policy Provisions</w:t>
      </w:r>
    </w:p>
    <w:p>
      <w:pPr>
        <w:pStyle w:val="CompactBullet"/>
      </w:pPr>
      <w:r>
        <w:t>Qualifying low-mileage vehicles may receive reduced compliance burdens based on verified annual mileage and lawful safety standards.</w:t>
      </w:r>
    </w:p>
    <w:p>
      <w:pPr>
        <w:pStyle w:val="CompactBullet"/>
      </w:pPr>
      <w:r>
        <w:t>Low-mileage qualification requires an annual mileage verification entered by an authorized inspection station or other approved provider into the unified vehicle record.</w:t>
      </w:r>
    </w:p>
    <w:p>
      <w:pPr>
        <w:pStyle w:val="CompactBullet"/>
      </w:pPr>
      <w:r>
        <w:t>The annual mileage-verification visit shall carry only a small, state-set fee sufficient to cover the verification service and record entry.</w:t>
      </w:r>
    </w:p>
    <w:p>
      <w:pPr>
        <w:pStyle w:val="CompactBullet"/>
      </w:pPr>
      <w:r>
        <w:t>Eligibility thresholds and renewal rules shall be objective, simple, and auditable.</w:t>
      </w:r>
    </w:p>
    <w:p>
      <w:pPr>
        <w:pStyle w:val="CompactBullet"/>
      </w:pPr>
      <w:r>
        <w:t>Seasonal, collector, recreational, and other legitimate limited-use categories may receive registration and compliance schedules reflecting actual periods and levels of use.</w:t>
      </w:r>
    </w:p>
    <w:p>
      <w:pPr>
        <w:pStyle w:val="CompactBullet"/>
      </w:pPr>
      <w:r>
        <w:t>Fraudulent mileage reporting, odometer manipulation, or misuse of a limited-use classification is subject to enhanced enforcement.</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9 - Small-Business and Light Commercial Vehicle Protections</w:t>
      </w:r>
    </w:p>
    <w:p>
      <w:pPr/>
      <w:r>
        <w:t>Small commercial operators should not automatically be regulated like major trucking fleets. Compliance should reflect vehicle weight, fleet size, actual use, and risk while maintaining stronger rules for heavy and higher-risk vehicles.</w:t>
      </w:r>
    </w:p>
    <w:p>
      <w:pPr>
        <w:pStyle w:val="Heading2"/>
      </w:pPr>
      <w:r>
        <w:t>Approved Policy Provisions</w:t>
      </w:r>
    </w:p>
    <w:p>
      <w:pPr>
        <w:pStyle w:val="CompactBullet"/>
      </w:pPr>
      <w:r>
        <w:t>Qualifying small commercial operators may be defined using a combination of no more than 10 vehicles, vehicles below the heavy-commercial threshold, and actual use and risk.</w:t>
      </w:r>
    </w:p>
    <w:p>
      <w:pPr>
        <w:pStyle w:val="CompactBullet"/>
      </w:pPr>
      <w:r>
        <w:t>Commercial trucks over 10,000 pounds and other higher-risk categories remain subject to annual inspection.</w:t>
      </w:r>
    </w:p>
    <w:p>
      <w:pPr>
        <w:pStyle w:val="CompactBullet"/>
      </w:pPr>
      <w:r>
        <w:t>Seasonal registration options shall be available for qualifying businesses such as landscaping, agriculture, construction, tourism, event operations, and other legitimate seasonal operations.</w:t>
      </w:r>
    </w:p>
    <w:p>
      <w:pPr>
        <w:pStyle w:val="CompactBullet"/>
      </w:pPr>
      <w:r>
        <w:t>Small-business compliance procedures shall be simplified where doing so does not reduce required safety standards.</w:t>
      </w:r>
    </w:p>
    <w:p>
      <w:pPr>
        <w:pStyle w:val="CompactBullet"/>
      </w:pPr>
      <w:r>
        <w:t>Mobile inspections may be used at farms, businesses, job sites, fleet locations, and other approved locations to reduce unnecessary downtime.</w:t>
      </w:r>
    </w:p>
    <w:p>
      <w:pPr>
        <w:pStyle w:val="CompactBullet"/>
      </w:pPr>
      <w:r>
        <w:t>Nothing in this Part exempts an unsafe commercial vehicle from roadside enforcement or applicable federal commercial-motor-vehicle requirements.</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10 - Certified Mobile Inspection Services</w:t>
      </w:r>
    </w:p>
    <w:p>
      <w:pPr/>
      <w:r>
        <w:t>Certified mobile inspection services can improve access in rural communities and reduce downtime for businesses, but convenience cannot become a loophole around safety or consumer protection.</w:t>
      </w:r>
    </w:p>
    <w:p>
      <w:pPr>
        <w:pStyle w:val="Heading2"/>
      </w:pPr>
      <w:r>
        <w:t>Approved Policy Provisions</w:t>
      </w:r>
    </w:p>
    <w:p>
      <w:pPr>
        <w:pStyle w:val="CompactBullet"/>
      </w:pPr>
      <w:r>
        <w:t>Pennsylvania shall authorize certified mobile vehicle-inspection providers subject to state certification, equipment standards, insurance, recordkeeping, audits, fraud prevention, and consumer-protection requirements.</w:t>
      </w:r>
    </w:p>
    <w:p>
      <w:pPr>
        <w:pStyle w:val="CompactBullet"/>
      </w:pPr>
      <w:r>
        <w:t>Mobile providers may serve rural communities, farms, businesses, commercial facilities, job sites, fleet locations, and other approved sites.</w:t>
      </w:r>
    </w:p>
    <w:p>
      <w:pPr>
        <w:pStyle w:val="CompactBullet"/>
      </w:pPr>
      <w:r>
        <w:t>A limited, separately disclosed mobile-service surcharge may be charged above the capped basic inspection fee to reflect legitimate travel and mobile operating costs.</w:t>
      </w:r>
    </w:p>
    <w:p>
      <w:pPr>
        <w:pStyle w:val="CompactBullet"/>
      </w:pPr>
      <w:r>
        <w:t>The number of mobile inspection authorizations may be limited by county to protect service quality and prevent uncontrolled market saturation.</w:t>
      </w:r>
    </w:p>
    <w:p>
      <w:pPr>
        <w:pStyle w:val="CompactBullet"/>
      </w:pPr>
      <w:r>
        <w:t>Mobile-provider applications shall consider the applicant's prior three years of inspection volume where applicable, violation history, compliance record, customer complaints, qualifications, capacity, and demonstrated service need.</w:t>
      </w:r>
    </w:p>
    <w:p>
      <w:pPr>
        <w:pStyle w:val="CompactBullet"/>
      </w:pPr>
      <w:r>
        <w:t>Mobile authorizations are subject to renewal, audit, suspension, revocation, and geographic or operational conditions based on performance and compliance.</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11 - Inspection Fees, Price Transparency, and Repair Choice</w:t>
      </w:r>
    </w:p>
    <w:p>
      <w:pPr/>
      <w:r>
        <w:t>A legally required inspection should not become an opportunity for price abuse or forced repair sales. Consumers should know the required price before service begins and remain free to choose who performs repairs.</w:t>
      </w:r>
    </w:p>
    <w:p>
      <w:pPr>
        <w:pStyle w:val="Heading2"/>
      </w:pPr>
      <w:r>
        <w:t>Approved Policy Provisions</w:t>
      </w:r>
    </w:p>
    <w:p>
      <w:pPr>
        <w:pStyle w:val="CompactBullet"/>
      </w:pPr>
      <w:r>
        <w:t>Pennsylvania shall establish a hard statewide cap on the basic required safety-inspection fee.</w:t>
      </w:r>
    </w:p>
    <w:p>
      <w:pPr>
        <w:pStyle w:val="CompactBullet"/>
      </w:pPr>
      <w:r>
        <w:t>Inspection stations may compete below the cap but may not charge above it for the required basic inspection.</w:t>
      </w:r>
    </w:p>
    <w:p>
      <w:pPr>
        <w:pStyle w:val="CompactBullet"/>
      </w:pPr>
      <w:r>
        <w:t>Safety-inspection, emissions-inspection, reinspection, mobile-service, and other legally permitted charges must be clearly disclosed before service begins.</w:t>
      </w:r>
    </w:p>
    <w:p>
      <w:pPr>
        <w:pStyle w:val="CompactBullet"/>
      </w:pPr>
      <w:r>
        <w:t>A separately capped mobile-service surcharge is permitted for certified mobile providers.</w:t>
      </w:r>
    </w:p>
    <w:p>
      <w:pPr>
        <w:pStyle w:val="CompactBullet"/>
      </w:pPr>
      <w:r>
        <w:t>Inspection fees and general fee schedules should remain stable and be reviewed periodically, normally on an approximately five-year cycle unless documented extraordinary conditions justify earlier review.</w:t>
      </w:r>
    </w:p>
    <w:p>
      <w:pPr>
        <w:pStyle w:val="CompactBullet"/>
      </w:pPr>
      <w:r>
        <w:t>Repair charges are separate from inspection charges and are not subject to the basic inspection-fee cap unless otherwise regulated by law.</w:t>
      </w:r>
    </w:p>
    <w:p>
      <w:pPr>
        <w:pStyle w:val="CompactBullet"/>
      </w:pPr>
      <w:r>
        <w:t>A driver who fails inspection retains the right to authorize repairs at the inspecting station, use another repair facility, perform lawful self-repair where permitted, and obtain lawful reinspection as provided by law.</w:t>
      </w:r>
    </w:p>
    <w:p>
      <w:pPr>
        <w:pStyle w:val="CompactBullet"/>
      </w:pPr>
      <w:r>
        <w:t>Inspection authority may not be used to force a consumer to purchase repair work from the inspecting station.</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12 - Unified Vehicle Compliance Record and Digital Verification</w:t>
      </w:r>
    </w:p>
    <w:p>
      <w:pPr/>
      <w:r>
        <w:t>Pennsylvania should replace fragmented vehicle-compliance records with a secure unified system that makes lawful verification faster for drivers, inspection providers, law enforcement, insurers, courts, and qualifying employers without creating unnecessary surveillance.</w:t>
      </w:r>
    </w:p>
    <w:p>
      <w:pPr>
        <w:pStyle w:val="Heading2"/>
      </w:pPr>
      <w:r>
        <w:t>Approved Policy Provisions</w:t>
      </w:r>
    </w:p>
    <w:p>
      <w:pPr>
        <w:pStyle w:val="CompactBullet"/>
      </w:pPr>
      <w:r>
        <w:t>The unified record may verify registration status, safety-inspection status, emissions compliance, insurance verification, title status, salvage or reconstructed status, annual mileage verification where applicable, and legitimate safety flags.</w:t>
      </w:r>
    </w:p>
    <w:p>
      <w:pPr>
        <w:pStyle w:val="CompactBullet"/>
      </w:pPr>
      <w:r>
        <w:t>Vehicle owners receive access to their own records and a practical process to identify and correct errors.</w:t>
      </w:r>
    </w:p>
    <w:p>
      <w:pPr>
        <w:pStyle w:val="CompactBullet"/>
      </w:pPr>
      <w:r>
        <w:t>All law-enforcement agencies may access information necessary for lawful vehicle-compliance and public-safety functions.</w:t>
      </w:r>
    </w:p>
    <w:p>
      <w:pPr>
        <w:pStyle w:val="CompactBullet"/>
      </w:pPr>
      <w:r>
        <w:t>Certified inspection stations receive interface-only access limited to information necessary to perform inspections, enter results, verify mileage, and satisfy authorized compliance duties.</w:t>
      </w:r>
    </w:p>
    <w:p>
      <w:pPr>
        <w:pStyle w:val="CompactBullet"/>
      </w:pPr>
      <w:r>
        <w:t>Insurers receive verification-only access to information legally necessary to verify covered vehicle compliance.</w:t>
      </w:r>
    </w:p>
    <w:p>
      <w:pPr>
        <w:pStyle w:val="CompactBullet"/>
      </w:pPr>
      <w:r>
        <w:t>Courts receive verification-only access for lawful judicial and case-related purposes.</w:t>
      </w:r>
    </w:p>
    <w:p>
      <w:pPr>
        <w:pStyle w:val="CompactBullet"/>
      </w:pPr>
      <w:r>
        <w:t>Employers may receive verification-only access when an employee is required to use the employee's own vehicle for work, limited to the compliance information reasonably necessary for that employment purpose.</w:t>
      </w:r>
    </w:p>
    <w:p>
      <w:pPr>
        <w:pStyle w:val="CompactBullet"/>
      </w:pPr>
      <w:r>
        <w:t>Digital verification should reduce unnecessary paper documentation while preserving paper options where legally or practically necessary.</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13 - Privacy, Authorized Access, and Data-Security Safeguards</w:t>
      </w:r>
    </w:p>
    <w:p>
      <w:pPr/>
      <w:r>
        <w:t>Modernization cannot become surveillance or a commercial database. Access to vehicle and driver information must be purpose-limited, logged, auditable, and enforceable.</w:t>
      </w:r>
    </w:p>
    <w:p>
      <w:pPr>
        <w:pStyle w:val="Heading2"/>
      </w:pPr>
      <w:r>
        <w:t>Approved Policy Provisions</w:t>
      </w:r>
    </w:p>
    <w:p>
      <w:pPr>
        <w:pStyle w:val="CompactBullet"/>
      </w:pPr>
      <w:r>
        <w:t>Access is role-based and limited to the minimum information necessary for an authorized purpose.</w:t>
      </w:r>
    </w:p>
    <w:p>
      <w:pPr>
        <w:pStyle w:val="CompactBullet"/>
      </w:pPr>
      <w:r>
        <w:t>Every covered access to protected records shall be logged and subject to audit.</w:t>
      </w:r>
    </w:p>
    <w:p>
      <w:pPr>
        <w:pStyle w:val="CompactBullet"/>
      </w:pPr>
      <w:r>
        <w:t>Driver and vehicle information may not be sold or disclosed for commercial marketing, advertising, profiling, or unrelated data brokerage.</w:t>
      </w:r>
    </w:p>
    <w:p>
      <w:pPr>
        <w:pStyle w:val="CompactBullet"/>
      </w:pPr>
      <w:r>
        <w:t>Agencies, inspection providers, insurers, courts, employers, contractors, and authorized users are prohibited from browsing records for personal, political, commercial, retaliatory, or other unauthorized purposes.</w:t>
      </w:r>
    </w:p>
    <w:p>
      <w:pPr>
        <w:pStyle w:val="CompactBullet"/>
      </w:pPr>
      <w:r>
        <w:t>Unauthorized access or misuse may result in fines, loss of system access, employment or certification discipline, civil remedies, and criminal referral where appropriate.</w:t>
      </w:r>
    </w:p>
    <w:p>
      <w:pPr>
        <w:pStyle w:val="CompactBullet"/>
      </w:pPr>
      <w:r>
        <w:t>Security standards shall include authentication, access controls, breach response, retention limits, audit capability, and correction procedures.</w:t>
      </w:r>
    </w:p>
    <w:p>
      <w:pPr>
        <w:pStyle w:val="CompactBullet"/>
      </w:pPr>
      <w:r>
        <w:t>Public dashboards and performance reports shall use aggregate information and shall not publish personal driver information.</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14 - Inspection-Station Accountability, Consumer Feedback, and Compliance Oversight</w:t>
      </w:r>
    </w:p>
    <w:p>
      <w:pPr/>
      <w:r>
        <w:t>Inspection stations perform a public compliance function and should operate under predictable rules, fair oversight, and meaningful consumer accountability without allowing public-rating systems to become harassment tools.</w:t>
      </w:r>
    </w:p>
    <w:p>
      <w:pPr>
        <w:pStyle w:val="Heading2"/>
      </w:pPr>
      <w:r>
        <w:t>Approved Policy Provisions</w:t>
      </w:r>
    </w:p>
    <w:p>
      <w:pPr>
        <w:pStyle w:val="CompactBullet"/>
      </w:pPr>
      <w:r>
        <w:t>Pennsylvania shall maintain a public dashboard identifying approved stationary and mobile inspection providers, authorized services, current certification status, and other appropriate public compliance information.</w:t>
      </w:r>
    </w:p>
    <w:p>
      <w:pPr>
        <w:pStyle w:val="CompactBullet"/>
      </w:pPr>
      <w:r>
        <w:t>Consumers may submit feedback and complaints through the dashboard.</w:t>
      </w:r>
    </w:p>
    <w:p>
      <w:pPr>
        <w:pStyle w:val="CompactBullet"/>
      </w:pPr>
      <w:r>
        <w:t>Raw consumer feedback shall be available to designated compliance officers rather than automatically published as unverified public accusations.</w:t>
      </w:r>
    </w:p>
    <w:p>
      <w:pPr>
        <w:pStyle w:val="CompactBullet"/>
      </w:pPr>
      <w:r>
        <w:t>Compliance officers may assign or update a public star or performance rating using verified complaints, inspection history, violations, audit results, and other objective compliance information.</w:t>
      </w:r>
    </w:p>
    <w:p>
      <w:pPr>
        <w:pStyle w:val="CompactBullet"/>
      </w:pPr>
      <w:r>
        <w:t>Inspection stations shall receive notice and an opportunity to respond to material findings affecting certification or public compliance ratings.</w:t>
      </w:r>
    </w:p>
    <w:p>
      <w:pPr>
        <w:pStyle w:val="CompactBullet"/>
      </w:pPr>
      <w:r>
        <w:t>Repeated verified violations, fraud, unsafe practices, or serious consumer abuse may result in corrective action, fines, suspension, loss of system access, certification revocation, repayment, investigation, or criminal referral.</w:t>
      </w:r>
    </w:p>
    <w:p>
      <w:pPr>
        <w:pStyle w:val="CompactBullet"/>
      </w:pPr>
      <w:r>
        <w:t>Legitimate inspection businesses shall be protected from arbitrary enforcement and from competitors that gain advantage through fraud or noncompliance.</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15 - Fraud, False Records, Odometer Abuse, and Enforcement</w:t>
      </w:r>
    </w:p>
    <w:p>
      <w:pPr/>
      <w:r>
        <w:t>Reducing unnecessary regulation does not mean tolerating fraud. Deliberate manipulation of inspections, mileage, registration, emissions, or vehicle records undermines both safety and public confidence.</w:t>
      </w:r>
    </w:p>
    <w:p>
      <w:pPr>
        <w:pStyle w:val="Heading2"/>
      </w:pPr>
      <w:r>
        <w:t>Approved Policy Provisions</w:t>
      </w:r>
    </w:p>
    <w:p>
      <w:pPr>
        <w:pStyle w:val="CompactBullet"/>
      </w:pPr>
      <w:r>
        <w:t>Enhanced enforcement applies to counterfeit inspection documentation, fraudulent inspection certification, falsified vehicle records, odometer fraud, fraudulent registration, knowingly falsified emissions results, false low-mileage qualification, inspection-station fraud, and repeated deliberate compliance violations.</w:t>
      </w:r>
    </w:p>
    <w:p>
      <w:pPr>
        <w:pStyle w:val="CompactBullet"/>
      </w:pPr>
      <w:r>
        <w:t>Penalties shall distinguish good-faith administrative mistakes from knowing fraud and intentional repeated misconduct.</w:t>
      </w:r>
    </w:p>
    <w:p>
      <w:pPr>
        <w:pStyle w:val="CompactBullet"/>
      </w:pPr>
      <w:r>
        <w:t>Serious or repeated provider violations may result in large fines, suspension, certification revocation, loss of system access, repayment, fraud investigation, and criminal referral.</w:t>
      </w:r>
    </w:p>
    <w:p>
      <w:pPr>
        <w:pStyle w:val="CompactBullet"/>
      </w:pPr>
      <w:r>
        <w:t>Repeated deliberate individual violations shall carry escalating penalties proportionate to severity and history.</w:t>
      </w:r>
    </w:p>
    <w:p>
      <w:pPr>
        <w:pStyle w:val="CompactBullet"/>
      </w:pPr>
      <w:r>
        <w:t>Where criminal conduct is proven, penalties may include incarceration when authorized by law; inability to pay a fee or fine by itself shall not convert an administrative matter into incarceration.</w:t>
      </w:r>
    </w:p>
    <w:p>
      <w:pPr>
        <w:pStyle w:val="CompactBullet"/>
      </w:pPr>
      <w:r>
        <w:t>Fraud investigations shall preserve due process, notice, appeal rights, and evidentiary standards.</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16 - Safety Data, Audits, Performance Review, and Adjustment Triggers</w:t>
      </w:r>
    </w:p>
    <w:p>
      <w:pPr/>
      <w:r>
        <w:t>Pennsylvania should measure whether modernization is actually improving safety, affordability, access, and compliance. Future changes should follow evidence rather than assumptions.</w:t>
      </w:r>
    </w:p>
    <w:p>
      <w:pPr>
        <w:pStyle w:val="Heading2"/>
      </w:pPr>
      <w:r>
        <w:t>Approved Policy Provisions</w:t>
      </w:r>
    </w:p>
    <w:p>
      <w:pPr>
        <w:pStyle w:val="CompactBullet"/>
      </w:pPr>
      <w:r>
        <w:t>The Commonwealth shall track aggregate data on crashes linked to mechanical failure, inspection failure rates, serious safety defects, roadside safety violations, inspection fraud, emissions compliance, consumer costs, inspection availability, mobile-provider performance, and enforcement activity.</w:t>
      </w:r>
    </w:p>
    <w:p>
      <w:pPr>
        <w:pStyle w:val="CompactBullet"/>
      </w:pPr>
      <w:r>
        <w:t>Inspection stations, mobile providers, and relevant state systems are subject to financial, operational, compliance, fraud, security, and performance audits appropriate to their role.</w:t>
      </w:r>
    </w:p>
    <w:p>
      <w:pPr>
        <w:pStyle w:val="CompactBullet"/>
      </w:pPr>
      <w:r>
        <w:t>Public reports shall identify statewide and regional trends without publishing personal driver information.</w:t>
      </w:r>
    </w:p>
    <w:p>
      <w:pPr>
        <w:pStyle w:val="CompactBullet"/>
      </w:pPr>
      <w:r>
        <w:t>If credible evidence shows that a defined vehicle category presents materially greater safety risk under the biennial system, the Commonwealth may initiate a transparent review of that category.</w:t>
      </w:r>
    </w:p>
    <w:p>
      <w:pPr>
        <w:pStyle w:val="CompactBullet"/>
      </w:pPr>
      <w:r>
        <w:t>Any proposed strengthening of inspection frequency must be supported by documented evidence, public explanation, fiscal and consumer-impact review, and lawful rulemaking or legislation as required.</w:t>
      </w:r>
    </w:p>
    <w:p>
      <w:pPr>
        <w:pStyle w:val="CompactBullet"/>
      </w:pPr>
      <w:r>
        <w:t>Any attempt to weaken a higher-risk inspection category must meet the same evidence and transparency standard.</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17 - Transition, Funding, Fees, and Administrative Implementation</w:t>
      </w:r>
    </w:p>
    <w:p>
      <w:pPr/>
      <w:r>
        <w:t>The reform should lower recurring compliance costs without creating a new tax, unfunded administrative system, or unstable inspection market. Implementation will use existing agencies and infrastructure wherever practical and phase technology and provider changes in an orderly manner.</w:t>
      </w:r>
    </w:p>
    <w:p>
      <w:pPr>
        <w:pStyle w:val="Heading2"/>
      </w:pPr>
      <w:r>
        <w:t>Approved Policy Provisions</w:t>
      </w:r>
    </w:p>
    <w:p>
      <w:pPr>
        <w:pStyle w:val="CompactBullet"/>
      </w:pPr>
      <w:r>
        <w:t>No new tax is created by this reform.</w:t>
      </w:r>
    </w:p>
    <w:p>
      <w:pPr>
        <w:pStyle w:val="CompactBullet"/>
      </w:pPr>
      <w:r>
        <w:t>Implementation should prioritize reallocation of existing administrative resources, technology modernization savings, existing transportation and vehicle-program appropriations, and lawful fee revenue directly connected to services provided.</w:t>
      </w:r>
    </w:p>
    <w:p>
      <w:pPr>
        <w:pStyle w:val="CompactBullet"/>
      </w:pPr>
      <w:r>
        <w:t>Required fees should remain tied to actual administrative or inspection costs and should not be used as hidden general-revenue taxes.</w:t>
      </w:r>
    </w:p>
    <w:p>
      <w:pPr>
        <w:pStyle w:val="CompactBullet"/>
      </w:pPr>
      <w:r>
        <w:t>PennDOT and other responsible agencies shall establish transition schedules for biennial inspections, new-vehicle exemptions, registration options, mobile certification, unified records, fee caps, reminders, and cure procedures.</w:t>
      </w:r>
    </w:p>
    <w:p>
      <w:pPr>
        <w:pStyle w:val="CompactBullet"/>
      </w:pPr>
      <w:r>
        <w:t>Existing valid registrations and inspection certifications shall transition without requiring unnecessary duplicate inspections or fees.</w:t>
      </w:r>
    </w:p>
    <w:p>
      <w:pPr>
        <w:pStyle w:val="CompactBullet"/>
      </w:pPr>
      <w:r>
        <w:t>Inspection businesses shall receive reasonable implementation notice, technical standards, interface specifications, training access, and compliance guidance.</w:t>
      </w:r>
    </w:p>
    <w:p>
      <w:pPr>
        <w:pStyle w:val="CompactBullet"/>
      </w:pPr>
      <w:r>
        <w:t>Statewide implementation shall include public education for drivers, businesses, law enforcement, inspection providers, insurers, courts, and other authorized users.</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Part 18 - Legal Authority, Federal Compliance, Rulemaking, Severability, and Final Review</w:t>
      </w:r>
    </w:p>
    <w:p>
      <w:pPr/>
      <w:r>
        <w:t>The reform proceeds through statutory and regulatory changes while preserving federal compliance, constitutional protections, due process, consumer rights, and legislative control over the core policy decisions.</w:t>
      </w:r>
    </w:p>
    <w:p>
      <w:pPr>
        <w:pStyle w:val="Heading2"/>
      </w:pPr>
      <w:r>
        <w:t>Approved Policy Provisions</w:t>
      </w:r>
    </w:p>
    <w:p>
      <w:pPr>
        <w:pStyle w:val="CompactBullet"/>
      </w:pPr>
      <w:r>
        <w:t>Pennsylvania shall maintain compliance with applicable federal clean-air, commercial-motor-vehicle, safety, privacy, and funding requirements while seeking lawful waivers, approvals, revisions, or flexibility where the reform calls for reduced unnecessary regulation.</w:t>
      </w:r>
    </w:p>
    <w:p>
      <w:pPr>
        <w:pStyle w:val="CompactBullet"/>
      </w:pPr>
      <w:r>
        <w:t>Rulemaking authority is limited to implementation and may not administratively restore annual inspections for ordinary passenger vehicles, eliminate the two-year new-vehicle exemption, evade fee caps, weaken privacy protections, or expand data access beyond statutory authorization without legislative action.</w:t>
      </w:r>
    </w:p>
    <w:p>
      <w:pPr>
        <w:pStyle w:val="CompactBullet"/>
      </w:pPr>
      <w:r>
        <w:t>Rulemaking shall include public notice, comment, fiscal impact, consumer impact, small-business impact, privacy and security review, law-enforcement and safety review, and legislative oversight as required by law.</w:t>
      </w:r>
    </w:p>
    <w:p>
      <w:pPr>
        <w:pStyle w:val="CompactBullet"/>
      </w:pPr>
      <w:r>
        <w:t>Drivers, vehicle owners, inspection providers, mobile providers, and other regulated parties shall receive appropriate notice, correction, appeal, and due-process protections.</w:t>
      </w:r>
    </w:p>
    <w:p>
      <w:pPr>
        <w:pStyle w:val="CompactBullet"/>
      </w:pPr>
      <w:r>
        <w:t>Conflicting administrative rules shall be revised to conform to the statutory modernization framework.</w:t>
      </w:r>
    </w:p>
    <w:p>
      <w:pPr>
        <w:pStyle w:val="CompactBullet"/>
      </w:pPr>
      <w:r>
        <w:t>Strong severability shall preserve the remainder of the reform if a particular provision is invalidated or preempted.</w:t>
      </w:r>
    </w:p>
    <w:p>
      <w:pPr>
        <w:pStyle w:val="CompactBullet"/>
      </w:pPr>
      <w:r>
        <w:t>Annual reporting and a five-year independent performance review shall examine safety outcomes, mechanical-failure crashes, consumer savings, inspection access, fraud, emissions compliance, administrative costs, provider stability, privacy incidents, enforcement patterns, and whether additional modernization is justified.</w:t>
      </w:r>
    </w:p>
    <w:p>
      <w:pPr>
        <w:pStyle w:val="Heading2"/>
      </w:pPr>
      <w:r>
        <w:t>Implementation Standard</w:t>
      </w:r>
    </w:p>
    <w:p>
      <w:pPr/>
      <w:r>
        <w:t>This Part is implemented through statewide standards, secure digital records, public reporting, audits, consumer notices, appeal and correction rights, enforcement, and periodic performance review consistent with the full reform framework.</w:t>
      </w:r>
    </w:p>
    <w:p>
      <w:pPr>
        <w:pStyle w:val="Heading1"/>
      </w:pPr>
      <w:r>
        <w:t>Closing Statement</w:t>
      </w:r>
    </w:p>
    <w:p>
      <w:pPr/>
      <w:r>
        <w:t>This reform is designed to keep unsafe vehicles off Pennsylvania roads while reducing unnecessary recurring costs, paperwork, and outdated compliance burdens. It recognizes that a family passenger vehicle, a heavy commercial truck, a school bus, a seasonal work vehicle, and a low-mileage collector vehicle do not present identical risks and should not automatically be regulated as though they do.</w:t>
      </w:r>
    </w:p>
    <w:p>
      <w:pPr/>
      <w:r>
        <w:t>The result is a simpler system with biennial inspections for most passenger vehicles, stronger rules where risk is higher, targeted emissions requirements, modern registration, reasonable cure periods, mobile access, predictable fees, repair choice, secure digital verification, strict privacy protections, stronger fraud enforcement, and public measurement of actual safety results.</w:t>
      </w:r>
    </w:p>
    <w:p>
      <w:pPr/>
      <w:r>
        <w:t>Lower Costs. Simpler Rules. Safer Roads.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James Moore for Governor | Unbought. Unafraid. | www.mooreforpa.com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eastAsia="Arial"/>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4444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ListBullet"/>
    <w:pPr>
      <w:spacing w:after="40"/>
      <w:ind w:left="360"/>
    </w:pPr>
    <w:rPr>
      <w:rFonts w:ascii="Arial" w:hAnsi="Arial" w:eastAsia="Arial"/>
      <w:sz w:val="20"/>
    </w:rPr>
  </w:style>
  <w:style w:type="paragraph" w:customStyle="1" w:styleId="CompactNumber">
    <w:name w:val="Compact Number"/>
    <w:basedOn w:val="ListNumber"/>
    <w:pPr>
      <w:spacing w:after="40"/>
      <w:ind w:left="360"/>
    </w:pPr>
    <w:rPr>
      <w:rFonts w:ascii="Arial" w:hAnsi="Arial" w:eastAsia="Arial"/>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