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Pennsylvania Property Tax Reform</w:t>
      </w:r>
    </w:p>
    <w:p>
      <w:pPr>
        <w:pStyle w:val="Subtitle"/>
        <w:jc w:val="center"/>
      </w:pPr>
      <w:r>
        <w:t>Complete Official Campaign Policy Framework</w:t>
      </w:r>
    </w:p>
    <w:p>
      <w:pPr>
        <w:jc w:val="center"/>
      </w:pPr>
      <w:r>
        <w:rPr>
          <w:b/>
          <w:sz w:val="22"/>
        </w:rPr>
        <w:t>James Moore for Governor</w:t>
        <w:br/>
        <w:t>Unbought. Unafraid.</w:t>
      </w:r>
    </w:p>
    <w:p>
      <w:pPr>
        <w:jc w:val="center"/>
      </w:pPr>
      <w:r>
        <w:rPr>
          <w:sz w:val="17"/>
        </w:rPr>
        <w:t>www.mooreforpa.com | facebook.com/mooreforpa | x.com/mooreforpa | instagram.com/mooreforpa</w:t>
      </w:r>
    </w:p>
    <w:p>
      <w:pPr>
        <w:spacing w:after="40"/>
        <w:pBdr>
          <w:bottom w:val="single" w:sz="6" w:space="1" w:color="4F81BD"/>
        </w:pBdr>
      </w:pPr>
    </w:p>
    <w:p>
      <w:pPr>
        <w:pStyle w:val="Heading1"/>
      </w:pPr>
      <w:r>
        <w:t>Executive Summary</w:t>
      </w:r>
    </w:p>
    <w:p>
      <w:r>
        <w:t>The Pennsylvania Property Tax Reform is a comprehensive taxpayer-protection and local-government finance framework designed to reduce the property-tax burden while preserving essential education, public safety, emergency, infrastructure, and legally required services. It is built around binding relief targets, certified baselines, replacement-revenue discipline, spending controls, assessment reform, direct protections for homeowners and family farms, renter and small-business safeguards, anti-blight enforcement, and long-term legal protections.</w:t>
      </w:r>
    </w:p>
    <w:p>
      <w:pPr>
        <w:pStyle w:val="CompactBullet"/>
      </w:pPr>
      <w:r>
        <w:t>Reduce school property taxes by at least 50 percent within three years.</w:t>
      </w:r>
    </w:p>
    <w:p>
      <w:pPr>
        <w:pStyle w:val="CompactBullet"/>
      </w:pPr>
      <w:r>
        <w:t>Reduce county, municipal, and other covered local property taxes by at least 33 percent within five years.</w:t>
      </w:r>
    </w:p>
    <w:p>
      <w:pPr>
        <w:pStyle w:val="CompactBullet"/>
      </w:pPr>
      <w:r>
        <w:t>Protect owner-occupied homes, family farms, seniors, disabled residents, veterans, surviving spouses, renters, small businesses, and hardship cases.</w:t>
      </w:r>
    </w:p>
    <w:p>
      <w:pPr>
        <w:pStyle w:val="CompactBullet"/>
      </w:pPr>
      <w:r>
        <w:t>Prevent relief from being erased through reassessments, fees, substitute taxes, debt, authorities, or hidden pass-through costs.</w:t>
      </w:r>
    </w:p>
    <w:p>
      <w:pPr>
        <w:pStyle w:val="CompactBullet"/>
      </w:pPr>
      <w:r>
        <w:t>Preserve essential services while forcing government to cut waste, consolidate duplication, reform procurement, audit spending, and protect dedicated relief funds.</w:t>
      </w:r>
    </w:p>
    <w:p>
      <w:pPr>
        <w:pStyle w:val="CompactBullet"/>
      </w:pPr>
      <w:r>
        <w:t>Crack down on tax-sale abuse, speculation, vacant-property neglect, fraudulent claims, cronyism, inflated contracts, and public benefits without public results.</w:t>
      </w:r>
    </w:p>
    <w:p>
      <w:pPr>
        <w:pStyle w:val="Heading1"/>
      </w:pPr>
      <w:r>
        <w:t>Core Relief Schedule</w:t>
      </w:r>
    </w:p>
    <w:p>
      <w:pPr>
        <w:pStyle w:val="CompactBullet"/>
      </w:pPr>
      <w:r>
        <w:rPr>
          <w:b/>
        </w:rPr>
        <w:t xml:space="preserve">School property taxes: </w:t>
      </w:r>
      <w:r>
        <w:t>20 percent reduction in Year 1, 35 percent in Year 2, and 50 percent in Year 3 and thereafter.</w:t>
      </w:r>
    </w:p>
    <w:p>
      <w:pPr>
        <w:pStyle w:val="CompactBullet"/>
      </w:pPr>
      <w:r>
        <w:rPr>
          <w:b/>
        </w:rPr>
        <w:t xml:space="preserve">County, municipal, and covered local property taxes: </w:t>
      </w:r>
      <w:r>
        <w:t>7 percent reduction in Year 1, 14 percent in Year 2, 21 percent in Year 3, 28 percent in Year 4, and at least 33 percent in Year 5 and thereafter.</w:t>
      </w:r>
    </w:p>
    <w:p>
      <w:pPr>
        <w:pStyle w:val="CompactBullet"/>
      </w:pPr>
      <w:r>
        <w:rPr>
          <w:b/>
        </w:rPr>
        <w:t xml:space="preserve">Future goal: </w:t>
      </w:r>
      <w:r>
        <w:t>Further reduce and, where certified sustainable, eliminate remaining property taxes on qualifying owner-occupied homesteads and qualified family farms without shifting the burden onto renters, small businesses, farmers, utility ratepayers, consumers, or future taxpayers.</w:t>
      </w:r>
    </w:p>
    <w:p>
      <w:pPr>
        <w:pStyle w:val="Heading1"/>
      </w:pPr>
      <w:r>
        <w:t>Table of Contents</w:t>
      </w:r>
    </w:p>
    <w:p>
      <w:r>
        <w:t>1. Part 1 - Core Mission, Scope, Targets, and Governing Principles</w:t>
      </w:r>
    </w:p>
    <w:p>
      <w:r>
        <w:t>2. Part 2 - Tax Baseline, Relief Measurement, and Enforcement</w:t>
      </w:r>
    </w:p>
    <w:p>
      <w:r>
        <w:t>3. Part 3 - Replacement Revenue, Spending Reductions, and Relief Lockboxes</w:t>
      </w:r>
    </w:p>
    <w:p>
      <w:r>
        <w:t>4. Part 4 - Education Funding and Countywide Fiscal Governance</w:t>
      </w:r>
    </w:p>
    <w:p>
      <w:r>
        <w:t>5. Part 5 - County, Municipal, and Essential Local-Service Funding</w:t>
      </w:r>
    </w:p>
    <w:p>
      <w:r>
        <w:t>6. Part 6 - Spending Controls, Levy Limits, and Taxpayer Approval</w:t>
      </w:r>
    </w:p>
    <w:p>
      <w:r>
        <w:t>7. Part 7 - Existing Debt, Pensions, Retiree Obligations, and Capital Costs</w:t>
      </w:r>
    </w:p>
    <w:p>
      <w:r>
        <w:t>8. Part 8 - Homestead, Homeowner, Senior, Veteran, Disability, and Hardship Relief</w:t>
      </w:r>
    </w:p>
    <w:p>
      <w:r>
        <w:t>9. Part 9 - Farmstead and Family-Farm Protection</w:t>
      </w:r>
    </w:p>
    <w:p>
      <w:r>
        <w:t>10. Part 10 - Renters, Rental Housing, and Pass-Through Relief</w:t>
      </w:r>
    </w:p>
    <w:p>
      <w:r>
        <w:t>11. Part 11 - Small Business, Commercial, Industrial, and Large-Load Property</w:t>
      </w:r>
    </w:p>
    <w:p>
      <w:r>
        <w:t>12. Part 12 - Tax-Exempt Property, Nonprofits, Hospitals, Universities, Authorities, and PILOTs</w:t>
      </w:r>
    </w:p>
    <w:p>
      <w:r>
        <w:t>13. Part 13 - Assessments, Reassessments, Appeals, and Taxpayer Protections</w:t>
      </w:r>
    </w:p>
    <w:p>
      <w:r>
        <w:t>14. Part 14 - Delinquencies, Liens, Payment Plans, and Tax Sales</w:t>
      </w:r>
    </w:p>
    <w:p>
      <w:r>
        <w:t>15. Part 15 - Vacant, Abandoned, Blighted, Unsafe, Deteriorating, and Neglected Property</w:t>
      </w:r>
    </w:p>
    <w:p>
      <w:r>
        <w:t>16. Part 16 - Fraud, Waste, Abuse, Audits, Clawbacks, and Enforcement</w:t>
      </w:r>
    </w:p>
    <w:p>
      <w:r>
        <w:t>17. Part 17 - Transition, Stabilization, Hold-Harmless Rules, and Economic Safeguards</w:t>
      </w:r>
    </w:p>
    <w:p>
      <w:r>
        <w:t>18. Part 18 - Legal Authority, Implementation, Constitutional Safeguards, and Final Review</w:t>
      </w:r>
    </w:p>
    <w:p>
      <w:pPr>
        <w:pStyle w:val="Heading1"/>
      </w:pPr>
      <w:r>
        <w:t>Part 1 - Core Mission, Scope, Targets, and Governing Principles</w:t>
      </w:r>
    </w:p>
    <w:p>
      <w:r>
        <w:t>This reform begins from a simple premise: Pennsylvanians should not live in fear of losing homes, farms, businesses, or communities because government continually raises taxes on property they already own.</w:t>
      </w:r>
    </w:p>
    <w:p>
      <w:r>
        <w:t>The binding targets are a 50 percent reduction in school property taxes within three years and at least a 33 percent reduction in county, municipal, and other covered local property taxes within five years. These targets are measured against a certified baseline and enforced through annual reporting, audits, corrective action, and taxpayer remedies.</w:t>
      </w:r>
    </w:p>
    <w:p>
      <w:pPr>
        <w:pStyle w:val="Heading2"/>
      </w:pPr>
      <w:r>
        <w:t>Approved Policy Provisions</w:t>
      </w:r>
    </w:p>
    <w:p>
      <w:pPr>
        <w:pStyle w:val="CompactBullet"/>
      </w:pPr>
      <w:r>
        <w:t>Equal base relief applies across taxable property classes while enhanced relief is targeted to homeowners, family farms, seniors, disabled residents, veterans, surviving spouses, renters, small businesses, and hardship cases.</w:t>
      </w:r>
    </w:p>
    <w:p>
      <w:pPr>
        <w:pStyle w:val="CompactBullet"/>
      </w:pPr>
      <w:r>
        <w:t>No owner-occupied primary residence should be forced to tax sale solely because of genuine inability to pay, provided the owner complies with hardship review, payment plans, deferrals, or other lawful relief options and is not engaged in fraud, abandonment, or willful refusal despite ability to pay.</w:t>
      </w:r>
    </w:p>
    <w:p>
      <w:pPr>
        <w:pStyle w:val="CompactBullet"/>
      </w:pPr>
      <w:r>
        <w:t>Replacement revenue must follow the least invasive order: waste elimination, audits, recurring savings, consolidation, procurement reform, debt restructuring, existing revenue, better collection, loophole review, growth, targeted revenues, and only then limited broad taxes if a certified gap remains.</w:t>
      </w:r>
    </w:p>
    <w:p>
      <w:pPr>
        <w:pStyle w:val="CompactBullet"/>
      </w:pPr>
      <w:r>
        <w:t>Relief cannot be erased through reassessments, substitute fees, authority charges, hidden debt, utility-rate shifts, or equivalent local burdens.</w:t>
      </w:r>
    </w:p>
    <w:p>
      <w:pPr>
        <w:pStyle w:val="CompactBullet"/>
      </w:pPr>
      <w:r>
        <w:t>Essential services are protected; bureaucracy, waste, patronage, excessive administration, and unnecessary projects are not.</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2 - Tax Baseline, Relief Measurement, and Enforcement</w:t>
      </w:r>
    </w:p>
    <w:p>
      <w:r>
        <w:t>The reform requires a certified baseline so government cannot pretend old relief is new relief or manipulate the starting point. The primary baseline is the immediately preceding tax year, verified against a three-year lookback to identify abnormal shifts, delayed collections, emergency millage, reassessment games, debt classifications, exemptions, appeals, and new construction effects.</w:t>
      </w:r>
    </w:p>
    <w:p>
      <w:pPr>
        <w:pStyle w:val="Heading2"/>
      </w:pPr>
      <w:r>
        <w:t>Approved Policy Provisions</w:t>
      </w:r>
    </w:p>
    <w:p>
      <w:pPr>
        <w:pStyle w:val="CompactBullet"/>
      </w:pPr>
      <w:r>
        <w:t>Every taxpayer receives a tax bill showing baseline liability, assessed value, millage, existing relief, required base reduction, enhanced relief, debt charges, final due, and savings.</w:t>
      </w:r>
    </w:p>
    <w:p>
      <w:pPr>
        <w:pStyle w:val="CompactBullet"/>
      </w:pPr>
      <w:r>
        <w:t>Existing gaming, homestead, farmstead, or other direct bill relief is preserved but cannot be counted as new relief unless the taxpayer receives additional measurable savings.</w:t>
      </w:r>
    </w:p>
    <w:p>
      <w:pPr>
        <w:pStyle w:val="CompactBullet"/>
      </w:pPr>
      <w:r>
        <w:t>New construction enters the reduced system; ordinary maintenance and cosmetic work do not become a backdoor tax increase.</w:t>
      </w:r>
    </w:p>
    <w:p>
      <w:pPr>
        <w:pStyle w:val="CompactBullet"/>
      </w:pPr>
      <w:r>
        <w:t>Missed milestones trigger public notice, audits, recovery plans, corrective credits or rebates, and enforcement against the responsible entity.</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3 - Replacement Revenue, Spending Reductions, and Relief Lockboxes</w:t>
      </w:r>
    </w:p>
    <w:p>
      <w:r>
        <w:t>Replacement revenue must be transparent, dedicated, and protected. The reform rejects the idea that property-tax relief can be funded by simply creating a new hidden burden somewhere else.</w:t>
      </w:r>
    </w:p>
    <w:p>
      <w:pPr>
        <w:pStyle w:val="Heading2"/>
      </w:pPr>
      <w:r>
        <w:t>Approved Policy Provisions</w:t>
      </w:r>
    </w:p>
    <w:p>
      <w:pPr>
        <w:pStyle w:val="CompactBullet"/>
      </w:pPr>
      <w:r>
        <w:t>A statewide fiscal audit reviews education spending, local government, authorities, procurement, transportation transfers, cyber-charter costs, special education, school transportation, construction, pensions, debt, subsidies, mandates, administration, and duplication.</w:t>
      </w:r>
    </w:p>
    <w:p>
      <w:pPr>
        <w:pStyle w:val="CompactBullet"/>
      </w:pPr>
      <w:r>
        <w:t>Broad taxes are a last resort after documented savings, existing revenue, enforcement, targeted revenue, and economic modeling are completed.</w:t>
      </w:r>
    </w:p>
    <w:p>
      <w:pPr>
        <w:pStyle w:val="CompactBullet"/>
      </w:pPr>
      <w:r>
        <w:t>Any sales-tax or personal-income-tax changes require public modeling, net tax relief analysis, coordination with other reforms, taxpayer-impact reporting, and sunset or review protections.</w:t>
      </w:r>
    </w:p>
    <w:p>
      <w:pPr>
        <w:pStyle w:val="CompactBullet"/>
      </w:pPr>
      <w:r>
        <w:t>Energy, natural-resource, data-center, and large-load revenues must be coordinated with utility and infrastructure obligations and may not be double-counted.</w:t>
      </w:r>
    </w:p>
    <w:p>
      <w:pPr>
        <w:pStyle w:val="CompactBullet"/>
      </w:pPr>
      <w:r>
        <w:t>Dedicated lockboxes include school relief, county/municipal relief, homeowner/senior/veteran/disability/hardship relief, family farm relief, renter and small-business relief, transition/stabilization, and taxpayer recovery/clawback funds.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4 - Education Funding and Countywide Fiscal Governance</w:t>
      </w:r>
    </w:p>
    <w:p>
      <w:r>
        <w:t>School property taxes are reduced 50 percent within three years. Any remaining school property-tax component is capped, state-controlled, transparent, and subject to strict growth limits. School boards, district councils, and county education boards do not independently raise school property taxes.</w:t>
      </w:r>
    </w:p>
    <w:p>
      <w:pPr>
        <w:pStyle w:val="Heading2"/>
      </w:pPr>
      <w:r>
        <w:t>Approved Policy Provisions</w:t>
      </w:r>
    </w:p>
    <w:p>
      <w:pPr>
        <w:pStyle w:val="CompactBullet"/>
      </w:pPr>
      <w:r>
        <w:t>The education funding formula combines stability with student need, essential services, local costs, enrollment, poverty, special education, English learners, transportation, CTE/vo-tech, safety, rural factors, facilities, distress, tax base, and performance-related needs.</w:t>
      </w:r>
    </w:p>
    <w:p>
      <w:pPr>
        <w:pStyle w:val="CompactBullet"/>
      </w:pPr>
      <w:r>
        <w:t>County education boards oversee fiscal allocation, budget approval, procurement, debt, capital plans, audits, compliance, corrective plans, and transparency, but they do not become taxing authorities.</w:t>
      </w:r>
    </w:p>
    <w:p>
      <w:pPr>
        <w:pStyle w:val="CompactBullet"/>
      </w:pPr>
      <w:r>
        <w:t>Temporary hold-harmless funding is conditioned on audits, spending controls, procurement compliance, debt and facility review, administrative limits, and corrective plans. It phases down and cannot protect waste.</w:t>
      </w:r>
    </w:p>
    <w:p>
      <w:pPr>
        <w:pStyle w:val="CompactBullet"/>
      </w:pPr>
      <w:r>
        <w:t>District Compliance Reserve Accounts protect education dollars when a district is noncompliant while allowing direct payments to essential vendors, employees, providers, or mandated services.</w:t>
      </w:r>
    </w:p>
    <w:p>
      <w:pPr>
        <w:pStyle w:val="CompactBullet"/>
      </w:pPr>
      <w:r>
        <w:t>Severe fiscal misconduct can trigger monitors or temporary receivership-style fiscal oversight with strict time limits and exit plans.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5 - County, Municipal, and Essential Local-Service Funding</w:t>
      </w:r>
    </w:p>
    <w:p>
      <w:r>
        <w:t>County, municipal, library, fire, EMS, public safety, infrastructure, sanitation, human services, and other covered local property-tax levies are reduced by at least 33 percent over five years while essential services are protected.</w:t>
      </w:r>
    </w:p>
    <w:p>
      <w:pPr>
        <w:pStyle w:val="Heading2"/>
      </w:pPr>
      <w:r>
        <w:t>Approved Policy Provisions</w:t>
      </w:r>
    </w:p>
    <w:p>
      <w:pPr>
        <w:pStyle w:val="CompactBullet"/>
      </w:pPr>
      <w:r>
        <w:t>Relief applies to the full bill and cannot be evaded by reclassifying levies through departments, libraries, special districts, authorities, capital funds, or public safety categories.</w:t>
      </w:r>
    </w:p>
    <w:p>
      <w:pPr>
        <w:pStyle w:val="CompactBullet"/>
      </w:pPr>
      <w:r>
        <w:t>Local Essential Services Relief Grants may support public safety, EMS/fire, roads and bridges, distressed municipalities, shared services, debt refinancing, fiscal recovery, community police formation, and regional police startup.</w:t>
      </w:r>
    </w:p>
    <w:p>
      <w:pPr>
        <w:pStyle w:val="CompactBullet"/>
      </w:pPr>
      <w:r>
        <w:t>Aid is conditioned on compliance with reductions, audits, dashboards, spending controls, procurement rules, debt review, shared-service review, and anti-circumvention standards.</w:t>
      </w:r>
    </w:p>
    <w:p>
      <w:pPr>
        <w:pStyle w:val="CompactBullet"/>
      </w:pPr>
      <w:r>
        <w:t>Municipal reliance on State Police is handled through a fair public-safety responsibility framework that considers call volume, population, fiscal capacity, risk, geography, regional options, and distress.</w:t>
      </w:r>
    </w:p>
    <w:p>
      <w:pPr>
        <w:pStyle w:val="CompactBullet"/>
      </w:pPr>
      <w:r>
        <w:t>Local substitute taxes, nuisance taxes, fees, assessments, authority charges, or mandatory public charges cannot erase property-tax relief.</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6 - Spending Controls, Levy Limits, and Taxpayer Approval</w:t>
      </w:r>
    </w:p>
    <w:p>
      <w:r>
        <w:t>Property-tax relief must be protected after the initial reduction. Future levy growth is limited, taxpayer approval is required for major new burdens, and local entities cannot rebuild the old tax burden through fees, debt, or accounting shifts.</w:t>
      </w:r>
    </w:p>
    <w:p>
      <w:pPr>
        <w:pStyle w:val="Heading2"/>
      </w:pPr>
      <w:r>
        <w:t>Approved Policy Provisions</w:t>
      </w:r>
    </w:p>
    <w:p>
      <w:pPr>
        <w:pStyle w:val="CompactBullet"/>
      </w:pPr>
      <w:r>
        <w:t>Future levy growth is capped by the lesser of inflation, median household income growth, a statutory cap, or another taxpayer-protective formula, with new construction calculated separately.</w:t>
      </w:r>
    </w:p>
    <w:p>
      <w:pPr>
        <w:pStyle w:val="CompactBullet"/>
      </w:pPr>
      <w:r>
        <w:t>School property-tax increases remain state-controlled and limited to narrow circumstances such as lawful debt, court orders, declared emergencies, immediate school safety needs, or voter-approved increases where authorized.</w:t>
      </w:r>
    </w:p>
    <w:p>
      <w:pPr>
        <w:pStyle w:val="CompactBullet"/>
      </w:pPr>
      <w:r>
        <w:t>County and municipal increases above the cap require notice, hearings, taxpayer-impact statements, fiscal review, state review where required, and voter approval when applicable.</w:t>
      </w:r>
    </w:p>
    <w:p>
      <w:pPr>
        <w:pStyle w:val="CompactBullet"/>
      </w:pPr>
      <w:r>
        <w:t>Procurement reform requires competitive bidding, contract disclosure, conflict rules, limits on no-bid contracts, public contract databases, vendor tracking, and penalties for abuse.</w:t>
      </w:r>
    </w:p>
    <w:p>
      <w:pPr>
        <w:pStyle w:val="CompactBullet"/>
      </w:pPr>
      <w:r>
        <w:t>Reserve funds must be disclosed, justified, and used before tax increases, hardship exceptions, substitute taxes, new debt, or state aid are requested.</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7 - Existing Debt, Pensions, Retiree Obligations, and Capital Costs</w:t>
      </w:r>
    </w:p>
    <w:p>
      <w:r>
        <w:t>Lawful obligations are honored, but debt, pensions, retiree healthcare, construction, and capital costs cannot become permanent excuses to deny relief.</w:t>
      </w:r>
    </w:p>
    <w:p>
      <w:pPr>
        <w:pStyle w:val="Heading2"/>
      </w:pPr>
      <w:r>
        <w:t>Approved Policy Provisions</w:t>
      </w:r>
    </w:p>
    <w:p>
      <w:pPr>
        <w:pStyle w:val="CompactBullet"/>
      </w:pPr>
      <w:r>
        <w:t>Debt-backed property-tax levies remain inside the final relief targets, with lawful transition tools such as refinancing, restructuring, replacement revenue, state assistance, debt-service support, credits, rebates, or stabilization funding.</w:t>
      </w:r>
    </w:p>
    <w:p>
      <w:pPr>
        <w:pStyle w:val="CompactBullet"/>
      </w:pPr>
      <w:r>
        <w:t>Major new debt uses both dollar and percentage-of-budget thresholds adjusted by entity size and taxpayer risk. Public notice, hearings, affordability review, taxpayer-impact analysis, state/county review, and voter approval where required apply.</w:t>
      </w:r>
    </w:p>
    <w:p>
      <w:pPr>
        <w:pStyle w:val="CompactBullet"/>
      </w:pPr>
      <w:r>
        <w:t>Existing pension and retiree obligations are protected, but they require transparency, actuarial review, cost controls, and prospective reform where lawful.</w:t>
      </w:r>
    </w:p>
    <w:p>
      <w:pPr>
        <w:pStyle w:val="CompactBullet"/>
      </w:pPr>
      <w:r>
        <w:t>No new or expanded pension or OPEB promise may be approved without a dedicated certified funding source.</w:t>
      </w:r>
    </w:p>
    <w:p>
      <w:pPr>
        <w:pStyle w:val="CompactBullet"/>
      </w:pPr>
      <w:r>
        <w:t>School construction, municipal capital projects, authority obligations, and emergency repairs are subject to review, public reporting, post-action audits, deferred-maintenance accountability, and state aid conditions.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8 - Homestead, Homeowner, Senior, Veteran, Disability, and Hardship Relief</w:t>
      </w:r>
    </w:p>
    <w:p>
      <w:r>
        <w:t>Every owner-occupied primary residence receives homestead protection, and enhanced relief targets the households most at risk of being taxed out of their homes.</w:t>
      </w:r>
    </w:p>
    <w:p>
      <w:pPr>
        <w:pStyle w:val="Heading2"/>
      </w:pPr>
      <w:r>
        <w:t>Approved Policy Provisions</w:t>
      </w:r>
    </w:p>
    <w:p>
      <w:pPr>
        <w:pStyle w:val="CompactBullet"/>
      </w:pPr>
      <w:r>
        <w:t>Enhanced relief can include homestead exclusions, credits, rebates, circuit breakers, freezes, deferrals, hardship grants, and emergency home-retention assistance.</w:t>
      </w:r>
    </w:p>
    <w:p>
      <w:pPr>
        <w:pStyle w:val="CompactBullet"/>
      </w:pPr>
      <w:r>
        <w:t>Qualifying seniors may receive a post-reform tax freeze and a path toward full school-property-tax elimination after the 50 percent base reduction is achieved, prioritizing low- and moderate-income seniors with income, hardship, and tax-burden need.</w:t>
      </w:r>
    </w:p>
    <w:p>
      <w:pPr>
        <w:pStyle w:val="CompactBullet"/>
      </w:pPr>
      <w:r>
        <w:t>Disabled homeowners receive comparable protection based on disability, income, hardship, and tax burden.</w:t>
      </w:r>
    </w:p>
    <w:p>
      <w:pPr>
        <w:pStyle w:val="CompactBullet"/>
      </w:pPr>
      <w:r>
        <w:t>Veterans and surviving spouses retain existing benefits and may receive enhanced hardship, circuit-breaker, deferral, and home-retention protections.</w:t>
      </w:r>
    </w:p>
    <w:p>
      <w:pPr>
        <w:pStyle w:val="CompactBullet"/>
      </w:pPr>
      <w:r>
        <w:t>Deferrals use low simple interest, no penalties, lien/equity protections, and repayment upon sale, transfer, refinance, estate settlement, or loss of eligibility.</w:t>
      </w:r>
    </w:p>
    <w:p>
      <w:pPr>
        <w:pStyle w:val="CompactBullet"/>
      </w:pPr>
      <w:r>
        <w:t>Mortgage and escrow servicers must recalculate and pass relief through within 90 days, with refund, credit, dispute, and enforcement rights.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9 - Farmstead and Family-Farm Protection</w:t>
      </w:r>
    </w:p>
    <w:p>
      <w:r>
        <w:t>Qualified family farms, working agricultural land, farmsteads, and necessary farm structures are protected from tax pressure, speculative development-value assessments, and forced sale or subdivision.</w:t>
      </w:r>
    </w:p>
    <w:p>
      <w:pPr>
        <w:pStyle w:val="Heading2"/>
      </w:pPr>
      <w:r>
        <w:t>Approved Policy Provisions</w:t>
      </w:r>
    </w:p>
    <w:p>
      <w:pPr>
        <w:pStyle w:val="CompactBullet"/>
      </w:pPr>
      <w:r>
        <w:t>Qualified family farms are defined by bona fide agricultural production, ownership and operation standards, family entities, leases, acreage, production, income, and anti-abuse rules.</w:t>
      </w:r>
    </w:p>
    <w:p>
      <w:pPr>
        <w:pStyle w:val="CompactBullet"/>
      </w:pPr>
      <w:r>
        <w:t>Farmstead relief covers the farmhouse, working land, and necessary structures such as barns, silos, greenhouses, livestock buildings, dairy and poultry facilities, grain storage, equipment sheds, farm roads, irrigation, and water systems.</w:t>
      </w:r>
    </w:p>
    <w:p>
      <w:pPr>
        <w:pStyle w:val="CompactBullet"/>
      </w:pPr>
      <w:r>
        <w:t>Active farms are assessed by agricultural-use value rather than speculative development value, with rollback taxes or repayment if converted to nonfarm development.</w:t>
      </w:r>
    </w:p>
    <w:p>
      <w:pPr>
        <w:pStyle w:val="CompactBullet"/>
      </w:pPr>
      <w:r>
        <w:t>Family transfers retain protection when agricultural use continues.</w:t>
      </w:r>
    </w:p>
    <w:p>
      <w:pPr>
        <w:pStyle w:val="CompactBullet"/>
      </w:pPr>
      <w:r>
        <w:t>Corporate, institutional, or investor-owned land may receive agricultural-use assessment only when genuinely farmed; enhanced family-farm protections are reserved for qualified family farms and bona fide farmer-operated farms.</w:t>
      </w:r>
    </w:p>
    <w:p>
      <w:pPr>
        <w:pStyle w:val="CompactBullet"/>
      </w:pPr>
      <w:r>
        <w:t>Qualified farms receive payment plans, deferrals, mediation, lien limits, hardship review, and no forced sale for genuine inability while complying in good faith.</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10 - Renters, Rental Housing, and Pass-Through Relief</w:t>
      </w:r>
    </w:p>
    <w:p>
      <w:r>
        <w:t>Renters pay property taxes indirectly through rent. This reform creates direct renter relief while protecting rental housing supply and responsible small landlords.</w:t>
      </w:r>
    </w:p>
    <w:p>
      <w:pPr>
        <w:pStyle w:val="Heading2"/>
      </w:pPr>
      <w:r>
        <w:t>Approved Policy Provisions</w:t>
      </w:r>
    </w:p>
    <w:p>
      <w:pPr>
        <w:pStyle w:val="CompactBullet"/>
      </w:pPr>
      <w:r>
        <w:t>Renter relief uses direct rebates, refundable credits, hardship relief, and modernization of the existing Property Tax/Rent Rebate system.</w:t>
      </w:r>
    </w:p>
    <w:p>
      <w:pPr>
        <w:pStyle w:val="CompactBullet"/>
      </w:pPr>
      <w:r>
        <w:t>Eligibility prioritizes low- and moderate-income renters, seniors, disabled renters, veterans, surviving spouses, families with children, and hardship households.</w:t>
      </w:r>
    </w:p>
    <w:p>
      <w:pPr>
        <w:pStyle w:val="CompactBullet"/>
      </w:pPr>
      <w:r>
        <w:t>Landlords receiving substantial property-tax relief, grants, abatements, stabilization aid, affordable-housing incentives, or public benefits must disclose relief and may face rent-impact reporting.</w:t>
      </w:r>
    </w:p>
    <w:p>
      <w:pPr>
        <w:pStyle w:val="CompactBullet"/>
      </w:pPr>
      <w:r>
        <w:t>False tax-based rent increases are prohibited when property taxes were reduced.</w:t>
      </w:r>
    </w:p>
    <w:p>
      <w:pPr>
        <w:pStyle w:val="CompactBullet"/>
      </w:pPr>
      <w:r>
        <w:t>Large and institutional rental owners receiving public benefits face stronger reporting, audit, anti-gouging, habitability, code, safety, and anti-retaliation standards.</w:t>
      </w:r>
    </w:p>
    <w:p>
      <w:pPr>
        <w:pStyle w:val="CompactBullet"/>
      </w:pPr>
      <w:r>
        <w:t>Small landlords acting in good faith receive simplified compliance and technical assistance while remaining subject to anti-fraud, habitability, and tenant-protection rules.</w:t>
      </w:r>
    </w:p>
    <w:p>
      <w:pPr>
        <w:pStyle w:val="CompactBullet"/>
      </w:pPr>
      <w:r>
        <w:t>A State Property Tax Relief and Accountability Office coordinates implementation without becoming a new independent taxing or borrowing authority.</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11 - Small Business, Commercial, Industrial, and Large-Load Property</w:t>
      </w:r>
    </w:p>
    <w:p>
      <w:r>
        <w:t>Property-tax reform should help small businesses and job-producing employers without becoming a giveaway to large corporations, speculators, politically connected developers, or large-load users that shift costs to communities.</w:t>
      </w:r>
    </w:p>
    <w:p>
      <w:pPr>
        <w:pStyle w:val="Heading2"/>
      </w:pPr>
      <w:r>
        <w:t>Approved Policy Provisions</w:t>
      </w:r>
    </w:p>
    <w:p>
      <w:pPr>
        <w:pStyle w:val="CompactBullet"/>
      </w:pPr>
      <w:r>
        <w:t>Enhanced relief applies to owner-occupied small businesses and small-business tenants where taxes are passed through rent, CAM charges, triple-net leases, tax escalators, or similar lease structures.</w:t>
      </w:r>
    </w:p>
    <w:p>
      <w:pPr>
        <w:pStyle w:val="CompactBullet"/>
      </w:pPr>
      <w:r>
        <w:t>Small-business relief can include targeted credits, rebates, pass-through credits, and tax-to-revenue circuit-breaker protection.</w:t>
      </w:r>
    </w:p>
    <w:p>
      <w:pPr>
        <w:pStyle w:val="CompactBullet"/>
      </w:pPr>
      <w:r>
        <w:t>Commercial tenants receive disclosure, accurate tax pass-through calculations, false-tax-justification bans, triple-net review, refunds, credits, and complaint rights.</w:t>
      </w:r>
    </w:p>
    <w:p>
      <w:pPr>
        <w:pStyle w:val="CompactBullet"/>
      </w:pPr>
      <w:r>
        <w:t>Large commercial and corporate property receives equal base relief only, with enhanced relief limited to measurable public benefit such as jobs, reinvestment, affordable commercial space, cleanup, workforce development, or local stability.</w:t>
      </w:r>
    </w:p>
    <w:p>
      <w:pPr>
        <w:pStyle w:val="CompactBullet"/>
      </w:pPr>
      <w:r>
        <w:t>Industrial and manufacturing relief is tied to Pennsylvania jobs, production, skilled trades, supply chains, industrial reuse, and public-benefit commitments with clawbacks.</w:t>
      </w:r>
    </w:p>
    <w:p>
      <w:pPr>
        <w:pStyle w:val="CompactBullet"/>
      </w:pPr>
      <w:r>
        <w:t>Data centers and large-load users receive equal base relief only as required and no enhanced relief, abatements, special deals, or subsidies unless strict impact review and community/ratepayer contributions are provided.</w:t>
      </w:r>
    </w:p>
    <w:p>
      <w:pPr>
        <w:pStyle w:val="CompactBullet"/>
      </w:pPr>
      <w:r>
        <w:t>Vacant, blighted, unsafe, or speculative commercial property receives no enhanced relief without approved repair, reuse, redevelopment, remediation, occupancy, or preservation plans.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12 - Tax-Exempt Property, Nonprofits, Hospitals, Universities, Authorities, and PILOTs</w:t>
      </w:r>
    </w:p>
    <w:p>
      <w:r>
        <w:t>The reform protects legitimate religious, charitable, volunteer, and community nonprofit work while addressing large tax-exempt landholders and institutional arrangements that shift local service costs onto ordinary taxpayers.</w:t>
      </w:r>
    </w:p>
    <w:p>
      <w:pPr>
        <w:pStyle w:val="Heading2"/>
      </w:pPr>
      <w:r>
        <w:t>Approved Policy Provisions</w:t>
      </w:r>
    </w:p>
    <w:p>
      <w:pPr>
        <w:pStyle w:val="CompactBullet"/>
      </w:pPr>
      <w:r>
        <w:t>All tax-exempt property is reported, with detailed fiscal review focused on large institutions and properties creating significant municipal-service costs or tax-base loss.</w:t>
      </w:r>
    </w:p>
    <w:p>
      <w:pPr>
        <w:pStyle w:val="CompactBullet"/>
      </w:pPr>
      <w:r>
        <w:t>Churches, religious organizations, small charities, volunteer organizations, food banks, shelters, veterans organizations, and community nonprofits are protected from new burdens unless they own substantial non-charitable, commercial, rental, investment, or unrelated property.</w:t>
      </w:r>
    </w:p>
    <w:p>
      <w:pPr>
        <w:pStyle w:val="CompactBullet"/>
      </w:pPr>
      <w:r>
        <w:t>Large nonprofit hospitals and universities disclose exempt property, service impacts, commercial activity, land acquisitions, public subsidies, related entities, and measurable community benefit.</w:t>
      </w:r>
    </w:p>
    <w:p>
      <w:pPr>
        <w:pStyle w:val="CompactBullet"/>
      </w:pPr>
      <w:r>
        <w:t>Government-owned property is reported, with possible Commonwealth offset payments for major local burdens.</w:t>
      </w:r>
    </w:p>
    <w:p>
      <w:pPr>
        <w:pStyle w:val="CompactBullet"/>
      </w:pPr>
      <w:r>
        <w:t>Authorities and quasi-public entities disclose property, debt, fees, contracts, commercial activity, and anti-avoidance issues.</w:t>
      </w:r>
    </w:p>
    <w:p>
      <w:pPr>
        <w:pStyle w:val="CompactBullet"/>
      </w:pPr>
      <w:r>
        <w:t>Commercial activity inside tax-exempt structures may be taxed, charged, offset, or reviewed where legally permitted.</w:t>
      </w:r>
    </w:p>
    <w:p>
      <w:pPr>
        <w:pStyle w:val="CompactBullet"/>
      </w:pPr>
      <w:r>
        <w:t>Large institutions may enter PILOT or service-impact payment negotiations based on local service costs, exempt property value, community benefit, and ability to pay.</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13 - Assessments, Reassessments, Appeals, and Taxpayer Protections</w:t>
      </w:r>
    </w:p>
    <w:p>
      <w:r>
        <w:t>Relief cannot be taken back through reassessment games. This Part creates statewide assessment standards while preserving local administration.</w:t>
      </w:r>
    </w:p>
    <w:p>
      <w:pPr>
        <w:pStyle w:val="Heading2"/>
      </w:pPr>
      <w:r>
        <w:t>Approved Policy Provisions</w:t>
      </w:r>
    </w:p>
    <w:p>
      <w:pPr>
        <w:pStyle w:val="CompactBullet"/>
      </w:pPr>
      <w:r>
        <w:t>Reassessments must be revenue-neutral and cannot erase required relief.</w:t>
      </w:r>
    </w:p>
    <w:p>
      <w:pPr>
        <w:pStyle w:val="CompactBullet"/>
      </w:pPr>
      <w:r>
        <w:t>Taxpayer notices must show prior value, new value, millage, required relief, tax liability before and after reform, appeal rights, and the effect of reassessment.</w:t>
      </w:r>
    </w:p>
    <w:p>
      <w:pPr>
        <w:pStyle w:val="CompactBullet"/>
      </w:pPr>
      <w:r>
        <w:t>Annual taxable assessment increases are capped for owner-occupied homes, qualified family farms, farmsteads, agricultural land, qualifying small-business property, and affected small-business tenants except for lawful triggers.</w:t>
      </w:r>
    </w:p>
    <w:p>
      <w:pPr>
        <w:pStyle w:val="CompactBullet"/>
      </w:pPr>
      <w:r>
        <w:t>Ordinary maintenance, safety repairs, accessibility upgrades, aging-in-place improvements, weatherization, energy efficiency, stormwater, code-compliance, farm preservation, and small-business safety upgrades are protected from punitive reassessment.</w:t>
      </w:r>
    </w:p>
    <w:p>
      <w:pPr>
        <w:pStyle w:val="CompactBullet"/>
      </w:pPr>
      <w:r>
        <w:t>Appeals must be plain-language, affordable, accessible online/mail/in-person, and supported with evidence access and special assistance for protected taxpayers.</w:t>
      </w:r>
    </w:p>
    <w:p>
      <w:pPr>
        <w:pStyle w:val="CompactBullet"/>
      </w:pPr>
      <w:r>
        <w:t>Government must justify major increases, unusual valuations, development-value assessments, selective reassessments, individual triggers, and protected repair denials.</w:t>
      </w:r>
    </w:p>
    <w:p>
      <w:pPr>
        <w:pStyle w:val="CompactBullet"/>
      </w:pPr>
      <w:r>
        <w:t>Selective reassessment, retaliation, targeting, vendor incentives for higher assessments, and assessment manipulation are prohibited.</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14 - Delinquencies, Liens, Payment Plans, and Tax Sales</w:t>
      </w:r>
    </w:p>
    <w:p>
      <w:r>
        <w:t>Lawful taxes must be collected, but tax sales should not be the first resort against people trying to keep a home, farm, or small business.</w:t>
      </w:r>
    </w:p>
    <w:p>
      <w:pPr>
        <w:pStyle w:val="Heading2"/>
      </w:pPr>
      <w:r>
        <w:t>Approved Policy Provisions</w:t>
      </w:r>
    </w:p>
    <w:p>
      <w:pPr>
        <w:pStyle w:val="CompactBullet"/>
      </w:pPr>
      <w:r>
        <w:t>No owner-occupied primary residence may be sold for delinquent property taxes unless fraud, abandonment, false homestead claims, intentional concealment, willful refusal despite ability to pay, failure to comply with reasonable relief options, conversion to non-owner-occupied use, or other narrow exclusion is proven after due process.</w:t>
      </w:r>
    </w:p>
    <w:p>
      <w:pPr>
        <w:pStyle w:val="CompactBullet"/>
      </w:pPr>
      <w:r>
        <w:t>Payment plans must be income-based, hardship-based, realistic, modifiable, and tailored for seniors, disabled residents, veterans, surviving spouses, family farms, small businesses, and temporary hardship cases.</w:t>
      </w:r>
    </w:p>
    <w:p>
      <w:pPr>
        <w:pStyle w:val="CompactBullet"/>
      </w:pPr>
      <w:r>
        <w:t>Penalties, interest, legal fees, administrative fees, sale costs, and collection costs are capped to prevent predatory debt growth.</w:t>
      </w:r>
    </w:p>
    <w:p>
      <w:pPr>
        <w:pStyle w:val="CompactBullet"/>
      </w:pPr>
      <w:r>
        <w:t>Tax-sale notice requires certified mail, regular mail, posted property notice, plain-language relief notice, phone/email/text attempts where available and lawful, and proof of reasonable contact efforts.</w:t>
      </w:r>
    </w:p>
    <w:p>
      <w:pPr>
        <w:pStyle w:val="CompactBullet"/>
      </w:pPr>
      <w:r>
        <w:t>Proceedings pause during timely, nonfraudulent relief applications, appeals, hardship reviews, payment-plan requests, deferral requests, and disputes.</w:t>
      </w:r>
    </w:p>
    <w:p>
      <w:pPr>
        <w:pStyle w:val="CompactBullet"/>
      </w:pPr>
      <w:r>
        <w:t>Surplus equity belongs to the owner and must be returned automatically with strict accounting.</w:t>
      </w:r>
    </w:p>
    <w:p>
      <w:pPr>
        <w:pStyle w:val="CompactBullet"/>
      </w:pPr>
      <w:r>
        <w:t>Tax-sale buyers and investors must register, disclose beneficial ownership, avoid collusion and predatory conduct, and comply with occupancy protections.</w:t>
      </w:r>
    </w:p>
    <w:p>
      <w:pPr>
        <w:pStyle w:val="CompactBullet"/>
      </w:pPr>
      <w:r>
        <w:t>Faster enforcement is allowed for abandoned, vacant, blighted, unsafe, investor-owned, land-banked, speculative, and nuisance properties, with due process and compliance-plan options.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15 - Vacant, Abandoned, Blighted, Unsafe, Deteriorating, and Neglected Property</w:t>
      </w:r>
    </w:p>
    <w:p>
      <w:r>
        <w:t>The reform distinguishes hardship from neglect. Good-faith owners get help and time; speculators, negligent landlords, repeat violators, and owners who refuse to act face stronger enforcement.</w:t>
      </w:r>
    </w:p>
    <w:p>
      <w:pPr>
        <w:pStyle w:val="Heading2"/>
      </w:pPr>
      <w:r>
        <w:t>Approved Policy Provisions</w:t>
      </w:r>
    </w:p>
    <w:p>
      <w:pPr>
        <w:pStyle w:val="CompactBullet"/>
      </w:pPr>
      <w:r>
        <w:t>Covered properties include vacant, abandoned, blighted, unsafe, deteriorating, fire/storm-damaged, nuisance, tax-delinquent, neglected, seriously noncompliant, and occupied properties being seriously neglected.</w:t>
      </w:r>
    </w:p>
    <w:p>
      <w:pPr>
        <w:pStyle w:val="CompactBullet"/>
      </w:pPr>
      <w:r>
        <w:t>Enhanced relief can be conditioned on repair, reuse, occupancy, sale, demolition, code, hardship, tax, title, tenant, redevelopment, or preservation plans and denied, suspended, reduced, or clawed back for intentional neglect or noncompliance.</w:t>
      </w:r>
    </w:p>
    <w:p>
      <w:pPr>
        <w:pStyle w:val="CompactBullet"/>
      </w:pPr>
      <w:r>
        <w:t>Hardship assistance prioritizes seniors, disabled residents, veterans, surviving spouses, low-income homeowners, families with children, owner-occupied homes, family farms, heirs, tangled-title occupants, and distressed communities.</w:t>
      </w:r>
    </w:p>
    <w:p>
      <w:pPr>
        <w:pStyle w:val="CompactBullet"/>
      </w:pPr>
      <w:r>
        <w:t>Negligent landlords face habitability, code, safety, anti-retaliation, tenant-protection, rent-escrow where lawful, and receivership-style repair remedies.</w:t>
      </w:r>
    </w:p>
    <w:p>
      <w:pPr>
        <w:pStyle w:val="CompactBullet"/>
      </w:pPr>
      <w:r>
        <w:t>Speculators and land banks face ownership disclosure, loss or reduction of relief, clawbacks, escalating vacancy fees, repair/reuse/sale requirements, code and tax enforcement, receivership-style remedies, and denial of future incentives.</w:t>
      </w:r>
    </w:p>
    <w:p>
      <w:pPr>
        <w:pStyle w:val="CompactBullet"/>
      </w:pPr>
      <w:r>
        <w:t>Long-vacant usable properties are subject to activation requirements: rent it, sell it, repair it, occupy it, lease it to qualified tenants, place it in housing or small-business programs, redevelop it, transfer it to a responsible owner, demolish it if unsafe, or enter another approved productive use.</w:t>
      </w:r>
    </w:p>
    <w:p>
      <w:pPr>
        <w:pStyle w:val="CompactBullet"/>
      </w:pPr>
      <w:r>
        <w:t>There is no blanket forced below-market rent, but owners receiving public benefits may be required to provide public benefit such as affordable rent, workforce/senior/veteran/disability/family housing, below-market commercial rent for local small businesses, anti-displacement commitments, and clawbacks.</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16 - Fraud, Waste, Abuse, Audits, Clawbacks, and Enforcement</w:t>
      </w:r>
    </w:p>
    <w:p>
      <w:r>
        <w:t>Relief must not be drained by fraud, inflated costs, favoritism, false claims, bad contracts, local manipulation, or entities taking public benefits without delivering results.</w:t>
      </w:r>
    </w:p>
    <w:p>
      <w:pPr>
        <w:pStyle w:val="Heading2"/>
      </w:pPr>
      <w:r>
        <w:t>Approved Policy Provisions</w:t>
      </w:r>
    </w:p>
    <w:p>
      <w:pPr>
        <w:pStyle w:val="CompactBullet"/>
      </w:pPr>
      <w:r>
        <w:t>Enforcement covers taxpayers, landlords, tenants, businesses, corporations, data centers, farms, nonprofits, institutions, contractors, vendors, law firms, collection agencies, reassessment firms, authorities, school entities, counties, municipalities, public officials, and public bodies.</w:t>
      </w:r>
    </w:p>
    <w:p>
      <w:pPr>
        <w:pStyle w:val="CompactBullet"/>
      </w:pPr>
      <w:r>
        <w:t>Audits include financial, program, performance, forensic, contract, subsidy, grant, reassessment, collection, tax-sale, relief-compliance, lockbox, authority, school funding, PILOT, data-center, landlord/renter, farmstead, vacant-property, and random spot audits.</w:t>
      </w:r>
    </w:p>
    <w:p>
      <w:pPr>
        <w:pStyle w:val="CompactBullet"/>
      </w:pPr>
      <w:r>
        <w:t>Clawbacks apply for fraud, false claims, misuse, job or investment failures, vacant-property noncompliance, data-center failures, landlord abuse, corporate subsidy violations, PILOT misrepresentation, authority misuse, lockbox diversion, contractor overbilling, procurement fraud, and failure to meet public-benefit terms.</w:t>
      </w:r>
    </w:p>
    <w:p>
      <w:pPr>
        <w:pStyle w:val="CompactBullet"/>
      </w:pPr>
      <w:r>
        <w:t>Whistleblower protections cover public employees, officials, contractors, vendors, taxpayers, homeowners, tenants, landlords, small businesses, farms, nonprofit and institutional workers, applicants, recipients, and community members.</w:t>
      </w:r>
    </w:p>
    <w:p>
      <w:pPr>
        <w:pStyle w:val="CompactBullet"/>
      </w:pPr>
      <w:r>
        <w:t>A public dashboard reports audits, findings, recoveries, clawbacks, penalties, appeals, corrective actions, major contracts, major subsidies, repeated violators, and referrals while protecting confidential information.</w:t>
      </w:r>
    </w:p>
    <w:p>
      <w:pPr>
        <w:pStyle w:val="CompactBullet"/>
      </w:pPr>
      <w:r>
        <w:t>Enforcement is coordinated by the State Property Tax Relief and Accountability Office and a limited interagency Property Tax Reform Integrity Task Force using existing agencies, not a new independent taxing or borrowing authority.</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17 - Transition, Stabilization, Hold-Harmless Rules, and Economic Safeguards</w:t>
      </w:r>
    </w:p>
    <w:p>
      <w:r>
        <w:t>The reform delivers firm relief targets through a controlled transition that protects essential services and blocks transition from becoming a permanent excuse for delay.</w:t>
      </w:r>
    </w:p>
    <w:p>
      <w:pPr>
        <w:pStyle w:val="Heading2"/>
      </w:pPr>
      <w:r>
        <w:t>Approved Policy Provisions</w:t>
      </w:r>
    </w:p>
    <w:p>
      <w:pPr>
        <w:pStyle w:val="CompactBullet"/>
      </w:pPr>
      <w:r>
        <w:t>The school reduction schedule is 20 percent in Year 1, 35 percent in Year 2, and 50 percent in Year 3 and thereafter. County, municipal, and other covered local property taxes are reduced at least 7, 14, 21, 28, and 33 percent over Years 1-5.</w:t>
      </w:r>
    </w:p>
    <w:p>
      <w:pPr>
        <w:pStyle w:val="CompactBullet"/>
      </w:pPr>
      <w:r>
        <w:t>Temporary hardship timing adjustments are allowed only for certified fiscal emergencies threatening essential services, lawful debt, or protected relief, with independent review, public hearing, corrective plan, state approval, dashboard reporting, expiration date, and no cancellation of final targets.</w:t>
      </w:r>
    </w:p>
    <w:p>
      <w:pPr>
        <w:pStyle w:val="CompactBullet"/>
      </w:pPr>
      <w:r>
        <w:t>A Property Tax Relief Stabilization Reserve protects schools, counties, municipalities, emergency services, debt obligations, protected relief, shortfalls, corrective credits or rebates, and transition needs.</w:t>
      </w:r>
    </w:p>
    <w:p>
      <w:pPr>
        <w:pStyle w:val="CompactBullet"/>
      </w:pPr>
      <w:r>
        <w:t>Hold-harmless funding is temporary and conditioned on audits, spending controls, transparency, procurement compliance, debt and reserve review, shared-service review, corrective plans, relief compliance, and reporting.</w:t>
      </w:r>
    </w:p>
    <w:p>
      <w:pPr>
        <w:pStyle w:val="CompactBullet"/>
      </w:pPr>
      <w:r>
        <w:t>Nonessential spending must be reviewed and restricted before hardship aid, emergency exceptions, substitute fees, tax increases, stabilization support, or hold-harmless funding.</w:t>
      </w:r>
    </w:p>
    <w:p>
      <w:pPr>
        <w:pStyle w:val="CompactBullet"/>
      </w:pPr>
      <w:r>
        <w:t>Shortfalls require verification, collection review, fraud/waste review, reserve use, spending controls, clawbacks, replacement-revenue adjustments, temporary state backfill, and corrective plans before property-tax increases.</w:t>
      </w:r>
    </w:p>
    <w:p>
      <w:pPr>
        <w:pStyle w:val="CompactBullet"/>
      </w:pPr>
      <w:r>
        <w:t>Excess revenue is restricted to stabilization, reserves, deeper relief, debt reduction, taxpayer credits or rebates, essential services tied to the reform, and Rainy Day Fund transfer only after relief obligations are met.</w:t>
      </w:r>
    </w:p>
    <w:p>
      <w:pPr>
        <w:pStyle w:val="CompactBullet"/>
      </w:pPr>
      <w:r>
        <w:t>Annual economic impact reviews examine savings, housing, rent, small business, farms, services, schools, jobs, prices, utility/data-center impacts, regional effects, assessments, tax sales, revenue, and equity.</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Part 18 - Legal Authority, Implementation, Constitutional Safeguards, and Final Review</w:t>
      </w:r>
    </w:p>
    <w:p>
      <w:r>
        <w:t>The reform proceeds through statutory action first while pursuing constitutional protections where needed to secure relief, lockboxes, taxpayer approval, owner-occupied home protections, and anti-circumvention rules.</w:t>
      </w:r>
    </w:p>
    <w:p>
      <w:pPr>
        <w:pStyle w:val="Heading2"/>
      </w:pPr>
      <w:r>
        <w:t>Approved Policy Provisions</w:t>
      </w:r>
    </w:p>
    <w:p>
      <w:pPr>
        <w:pStyle w:val="CompactBullet"/>
      </w:pPr>
      <w:r>
        <w:t>Taxpayer standing may be granted to affected taxpayers, homeowners, renters, farmers, small businesses, commercial tenants, municipalities, school entities, counties, county education boards, local service providers, the State Property Tax Relief and Accountability Office, and appropriate state officials.</w:t>
      </w:r>
    </w:p>
    <w:p>
      <w:pPr>
        <w:pStyle w:val="CompactBullet"/>
      </w:pPr>
      <w:r>
        <w:t>Rulemaking is limited to implementation and requires notice, comment, fiscal/taxpayer/local/small-business/renter/homeowner/agricultural/essential-service/admin/legal review, legislative oversight, and dashboard posting. Agencies cannot weaken relief targets or taxpayer protections.</w:t>
      </w:r>
    </w:p>
    <w:p>
      <w:pPr>
        <w:pStyle w:val="CompactBullet"/>
      </w:pPr>
      <w:r>
        <w:t>State standards preempt conflicting local rules where necessary to enforce relief targets, baselines, levy limits, taxpayer approval, assessments, anti-circumvention, reduction schedules, homestead/farm/renter/small-business protections, tax-sale safeguards, surplus equity, reporting, audits, and compliance.</w:t>
      </w:r>
    </w:p>
    <w:p>
      <w:pPr>
        <w:pStyle w:val="CompactBullet"/>
      </w:pPr>
      <w:r>
        <w:t>Implementation deadlines are mandatory, with limited extensions only for certified emergencies, legal or fiscal impossibility, court or federal issues, unavoidable data or system failures, disasters, or documented impossibility despite good-faith effort.</w:t>
      </w:r>
    </w:p>
    <w:p>
      <w:pPr>
        <w:pStyle w:val="CompactBullet"/>
      </w:pPr>
      <w:r>
        <w:t>Strong severability preserves the rest of the reform if one provision is struck down.</w:t>
      </w:r>
    </w:p>
    <w:p>
      <w:pPr>
        <w:pStyle w:val="CompactBullet"/>
      </w:pPr>
      <w:r>
        <w:t>Annual reporting and five-year independent performance reviews examine relief delivered, compliance, savings, stability, fiscal health, enforcement, costs, equity, and whether deeper relief or elimination is possible.</w:t>
      </w:r>
    </w:p>
    <w:p>
      <w:pPr>
        <w:pStyle w:val="CompactBullet"/>
      </w:pPr>
      <w:r>
        <w:t>The long-term goal is further reducing and, where sustainable, eliminating remaining property taxes on qualifying owner-occupied homesteads and qualified family farms after certification of recurring revenue, school and service stability, debt and pension obligations, reserves, economic impact, taxpayer equity, and no hidden burden shift.</w:t>
      </w:r>
    </w:p>
    <w:p>
      <w:pPr>
        <w:pStyle w:val="Heading2"/>
      </w:pPr>
      <w:r>
        <w:t>Implementation Standard</w:t>
      </w:r>
    </w:p>
    <w:p>
      <w:r>
        <w:t>This Part is implemented through certified baselines, public reporting, audits, taxpayer notices, appeal rights, dashboard transparency, corrective action, and enforcement mechanisms consistent with the full reform framework.</w:t>
      </w:r>
    </w:p>
    <w:p>
      <w:pPr>
        <w:pStyle w:val="Heading1"/>
      </w:pPr>
      <w:r>
        <w:t>Closing Statement</w:t>
      </w:r>
    </w:p>
    <w:p>
      <w:r>
        <w:t>This reform is designed to restore fairness, security, and accountability to Pennsylvania's property-tax system. It protects homes, farms, renters, small businesses, local services, and taxpayers while forcing government to justify spending, disclose costs, and stop treating property owners as an unlimited revenue source.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James Moore for Governor | Unbought. Unafraid. | www.mooreforpa.com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eastAsia="Arial"/>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4444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Bullet">
    <w:name w:val="Compact Bullet"/>
    <w:basedOn w:val="ListBullet"/>
    <w:pPr>
      <w:spacing w:after="40"/>
      <w:ind w:left="360"/>
    </w:pPr>
    <w:rPr>
      <w:rFonts w:ascii="Arial" w:hAnsi="Arial" w:eastAsia="Arial"/>
      <w:sz w:val="20"/>
    </w:rPr>
  </w:style>
  <w:style w:type="paragraph" w:customStyle="1" w:styleId="CompactNumber">
    <w:name w:val="Compact Number"/>
    <w:basedOn w:val="ListNumber"/>
    <w:pPr>
      <w:spacing w:after="40"/>
      <w:ind w:left="360"/>
    </w:pPr>
    <w:rPr>
      <w:rFonts w:ascii="Arial" w:hAnsi="Arial" w:eastAsia="Arial"/>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